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01" w:rsidRDefault="00CC77D5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ЧЕПИГИН</w:t>
      </w:r>
      <w:r w:rsidR="001C40C0">
        <w:rPr>
          <w:sz w:val="28"/>
          <w:szCs w:val="28"/>
          <w:lang w:val="ru-RU"/>
        </w:rPr>
        <w:t>СКОГО СЕЛЬСКОГО ПОСЕЛЕНИЯ</w:t>
      </w:r>
    </w:p>
    <w:p w:rsidR="001C40C0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БРЮХОВЕЦКОГО РАЙОНА</w:t>
      </w:r>
    </w:p>
    <w:p w:rsidR="001C40C0" w:rsidRPr="001C40C0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708"/>
        <w:outlineLvl w:val="9"/>
        <w:rPr>
          <w:sz w:val="28"/>
          <w:szCs w:val="28"/>
          <w:lang w:val="ru-RU"/>
        </w:rPr>
      </w:pPr>
    </w:p>
    <w:p w:rsidR="00DE6065" w:rsidRPr="001C40C0" w:rsidRDefault="009245C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32"/>
          <w:szCs w:val="32"/>
          <w:lang w:val="ru-RU"/>
        </w:rPr>
      </w:pPr>
      <w:r w:rsidRPr="001C40C0">
        <w:rPr>
          <w:sz w:val="32"/>
          <w:szCs w:val="32"/>
          <w:lang w:val="ru-RU"/>
        </w:rPr>
        <w:t>РЕШЕНИЕ</w:t>
      </w:r>
    </w:p>
    <w:p w:rsidR="009245C2" w:rsidRPr="009245C2" w:rsidRDefault="00760482" w:rsidP="001C40C0">
      <w:pPr>
        <w:pStyle w:val="30"/>
        <w:keepNext/>
        <w:keepLines/>
        <w:shd w:val="clear" w:color="auto" w:fill="auto"/>
        <w:tabs>
          <w:tab w:val="right" w:pos="8789"/>
        </w:tabs>
        <w:spacing w:after="0" w:line="240" w:lineRule="auto"/>
        <w:ind w:firstLine="851"/>
        <w:jc w:val="left"/>
        <w:outlineLvl w:val="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</w:t>
      </w:r>
      <w:r w:rsidR="0067044F">
        <w:rPr>
          <w:b w:val="0"/>
          <w:sz w:val="28"/>
          <w:szCs w:val="28"/>
          <w:lang w:val="ru-RU"/>
        </w:rPr>
        <w:t>25.11.2025</w:t>
      </w:r>
      <w:r>
        <w:rPr>
          <w:b w:val="0"/>
          <w:sz w:val="28"/>
          <w:szCs w:val="28"/>
          <w:lang w:val="ru-RU"/>
        </w:rPr>
        <w:tab/>
        <w:t xml:space="preserve">№ </w:t>
      </w:r>
      <w:r w:rsidR="0067044F">
        <w:rPr>
          <w:b w:val="0"/>
          <w:sz w:val="28"/>
          <w:szCs w:val="28"/>
          <w:lang w:val="ru-RU"/>
        </w:rPr>
        <w:t>123</w:t>
      </w:r>
    </w:p>
    <w:p w:rsidR="00504D12" w:rsidRDefault="00504D1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</w:rPr>
      </w:pPr>
    </w:p>
    <w:p w:rsidR="00504D12" w:rsidRDefault="00504D1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1C40C0" w:rsidRPr="001C40C0" w:rsidRDefault="001C40C0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C51A50" w:rsidRDefault="00F01A39" w:rsidP="00F01A3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</w:pPr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>О передаче администрации муниципального образования</w:t>
      </w:r>
    </w:p>
    <w:p w:rsidR="00F01A39" w:rsidRDefault="00F01A39" w:rsidP="00F01A3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</w:pPr>
      <w:r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 xml:space="preserve"> Брюховецкий район полномочий по осуществлению внутреннего</w:t>
      </w:r>
    </w:p>
    <w:p w:rsidR="00F01A39" w:rsidRPr="00F01A39" w:rsidRDefault="00760482" w:rsidP="00F01A3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>финансового аудита на 2023</w:t>
      </w:r>
      <w:r w:rsidR="00F01A39" w:rsidRPr="00F01A3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val="ru-RU"/>
        </w:rPr>
        <w:t xml:space="preserve"> год</w:t>
      </w:r>
    </w:p>
    <w:p w:rsidR="00F01A39" w:rsidRPr="00F01A39" w:rsidRDefault="00F01A39" w:rsidP="00F01A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</w:p>
    <w:p w:rsidR="00504D12" w:rsidRDefault="00504D12" w:rsidP="001C40C0">
      <w:pPr>
        <w:pStyle w:val="30"/>
        <w:keepNext/>
        <w:keepLines/>
        <w:shd w:val="clear" w:color="auto" w:fill="auto"/>
        <w:spacing w:after="0" w:line="240" w:lineRule="auto"/>
        <w:ind w:firstLine="425"/>
        <w:outlineLvl w:val="9"/>
        <w:rPr>
          <w:sz w:val="28"/>
          <w:szCs w:val="28"/>
          <w:lang w:val="ru-RU"/>
        </w:rPr>
      </w:pPr>
    </w:p>
    <w:p w:rsidR="00C246D0" w:rsidRPr="009245C2" w:rsidRDefault="00C246D0" w:rsidP="00C51A50">
      <w:pPr>
        <w:pStyle w:val="3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  <w:lang w:val="ru-RU"/>
        </w:rPr>
      </w:pPr>
    </w:p>
    <w:p w:rsidR="009245C2" w:rsidRDefault="007B25D1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</w:t>
      </w:r>
      <w:r w:rsidR="009245C2">
        <w:rPr>
          <w:sz w:val="28"/>
          <w:szCs w:val="28"/>
          <w:lang w:val="ru-RU"/>
        </w:rPr>
        <w:t xml:space="preserve">тветствии с </w:t>
      </w:r>
      <w:r w:rsidR="00C246D0">
        <w:rPr>
          <w:sz w:val="28"/>
          <w:szCs w:val="28"/>
          <w:lang w:val="ru-RU"/>
        </w:rPr>
        <w:t xml:space="preserve">частью </w:t>
      </w:r>
      <w:r w:rsidR="001C40C0">
        <w:rPr>
          <w:sz w:val="28"/>
          <w:szCs w:val="28"/>
          <w:lang w:val="ru-RU"/>
        </w:rPr>
        <w:t xml:space="preserve">4 статьи 15 Федерального закона </w:t>
      </w:r>
      <w:r w:rsidR="00C246D0">
        <w:rPr>
          <w:sz w:val="28"/>
          <w:szCs w:val="28"/>
          <w:lang w:val="ru-RU"/>
        </w:rPr>
        <w:t>от</w:t>
      </w:r>
      <w:r w:rsidR="00D9695A">
        <w:rPr>
          <w:sz w:val="28"/>
          <w:szCs w:val="28"/>
          <w:lang w:val="ru-RU"/>
        </w:rPr>
        <w:t xml:space="preserve"> </w:t>
      </w:r>
      <w:r w:rsidR="00C246D0">
        <w:rPr>
          <w:sz w:val="28"/>
          <w:szCs w:val="28"/>
          <w:lang w:val="ru-RU"/>
        </w:rPr>
        <w:t>6 октября 2003 года № 131-ФЗ «Об общих принципах организации местного самоуправления в Российской Федерации»</w:t>
      </w:r>
      <w:r w:rsidR="009D305F">
        <w:rPr>
          <w:sz w:val="28"/>
          <w:szCs w:val="28"/>
          <w:lang w:val="ru-RU"/>
        </w:rPr>
        <w:t xml:space="preserve">, в соответствии с </w:t>
      </w:r>
      <w:r w:rsidR="006507B6">
        <w:rPr>
          <w:sz w:val="28"/>
          <w:szCs w:val="28"/>
          <w:lang w:val="ru-RU"/>
        </w:rPr>
        <w:t>пунктом 4</w:t>
      </w:r>
      <w:r w:rsidR="009245C2">
        <w:rPr>
          <w:sz w:val="28"/>
          <w:szCs w:val="28"/>
          <w:lang w:val="ru-RU"/>
        </w:rPr>
        <w:t xml:space="preserve"> статьи 160.2-1</w:t>
      </w:r>
      <w:r w:rsidR="000C371A">
        <w:rPr>
          <w:sz w:val="28"/>
          <w:szCs w:val="28"/>
          <w:lang w:val="ru-RU"/>
        </w:rPr>
        <w:t xml:space="preserve"> Бюджетного кодекса Российской</w:t>
      </w:r>
      <w:r w:rsidR="008C51D2">
        <w:rPr>
          <w:sz w:val="28"/>
          <w:szCs w:val="28"/>
          <w:lang w:val="ru-RU"/>
        </w:rPr>
        <w:t xml:space="preserve"> Федерации</w:t>
      </w:r>
      <w:r w:rsidR="009D305F">
        <w:rPr>
          <w:sz w:val="28"/>
          <w:szCs w:val="28"/>
          <w:lang w:val="ru-RU"/>
        </w:rPr>
        <w:t xml:space="preserve">, Уставом </w:t>
      </w:r>
      <w:r w:rsidR="00CC77D5">
        <w:rPr>
          <w:sz w:val="28"/>
          <w:szCs w:val="28"/>
          <w:lang w:val="ru-RU"/>
        </w:rPr>
        <w:t>Чепигин</w:t>
      </w:r>
      <w:r w:rsidR="001C40C0">
        <w:rPr>
          <w:sz w:val="28"/>
          <w:szCs w:val="28"/>
          <w:lang w:val="ru-RU"/>
        </w:rPr>
        <w:t xml:space="preserve">ского </w:t>
      </w:r>
      <w:r w:rsidR="009D305F">
        <w:rPr>
          <w:sz w:val="28"/>
          <w:szCs w:val="28"/>
          <w:lang w:val="ru-RU"/>
        </w:rPr>
        <w:t>сельского поселения Брюховецкого района и в целях обеспечения финансирования расходов на осуществление полномочий по внутреннему финансовому аудиту р е ш и л:</w:t>
      </w:r>
    </w:p>
    <w:p w:rsidR="009D305F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507B6">
        <w:rPr>
          <w:sz w:val="28"/>
          <w:szCs w:val="28"/>
          <w:lang w:val="ru-RU"/>
        </w:rPr>
        <w:t xml:space="preserve">Передать полномочия внутреннего финансового аудита администрации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507B6">
        <w:rPr>
          <w:sz w:val="28"/>
          <w:szCs w:val="28"/>
          <w:lang w:val="ru-RU"/>
        </w:rPr>
        <w:t xml:space="preserve"> сельского поселе</w:t>
      </w:r>
      <w:r w:rsidR="00760482">
        <w:rPr>
          <w:sz w:val="28"/>
          <w:szCs w:val="28"/>
          <w:lang w:val="ru-RU"/>
        </w:rPr>
        <w:t>ния Брюховецкого района на 2023</w:t>
      </w:r>
      <w:r w:rsidR="006507B6">
        <w:rPr>
          <w:sz w:val="28"/>
          <w:szCs w:val="28"/>
          <w:lang w:val="ru-RU"/>
        </w:rPr>
        <w:t xml:space="preserve"> год по осуществлению внутреннего финансового аудита администрации муниципального образования Брюховецкий район.</w:t>
      </w:r>
    </w:p>
    <w:p w:rsidR="006507B6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507B6">
        <w:rPr>
          <w:sz w:val="28"/>
          <w:szCs w:val="28"/>
          <w:lang w:val="ru-RU"/>
        </w:rPr>
        <w:t xml:space="preserve">Установить, что должностные лица органа внутреннего муниципального финансового контроля администрации муниципального образования Брюховецкий район при осуществлении своих полномочий органа внутреннего муниципального финансового контроля администрации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 обладают правами должностных лиц внутреннего финансового аудита администрации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района, установленными федеральными законами, законами Краснодарского края, Уставом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507B6">
        <w:rPr>
          <w:sz w:val="28"/>
          <w:szCs w:val="28"/>
          <w:lang w:val="ru-RU"/>
        </w:rPr>
        <w:t xml:space="preserve"> сельского поселения Брюховецкого района и иными муниципальными правовыми актами.</w:t>
      </w:r>
    </w:p>
    <w:p w:rsidR="006507B6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507B6">
        <w:rPr>
          <w:sz w:val="28"/>
          <w:szCs w:val="28"/>
          <w:lang w:val="ru-RU"/>
        </w:rPr>
        <w:t xml:space="preserve">Утвердить форму соглашения о передаче </w:t>
      </w:r>
      <w:r w:rsidR="00F01A39">
        <w:rPr>
          <w:sz w:val="28"/>
          <w:szCs w:val="28"/>
          <w:lang w:val="ru-RU"/>
        </w:rPr>
        <w:t>администрации</w:t>
      </w:r>
      <w:r w:rsidR="006507B6">
        <w:rPr>
          <w:sz w:val="28"/>
          <w:szCs w:val="28"/>
          <w:lang w:val="ru-RU"/>
        </w:rPr>
        <w:t xml:space="preserve"> Брюховецкий район полномочий внутреннего финансового аудита администрации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F01A39">
        <w:rPr>
          <w:sz w:val="28"/>
          <w:szCs w:val="28"/>
          <w:lang w:val="ru-RU"/>
        </w:rPr>
        <w:t xml:space="preserve"> сельского поселения </w:t>
      </w:r>
      <w:r w:rsidR="006507B6">
        <w:rPr>
          <w:sz w:val="28"/>
          <w:szCs w:val="28"/>
          <w:lang w:val="ru-RU"/>
        </w:rPr>
        <w:t xml:space="preserve">Брюховецкого района по осуществлению </w:t>
      </w:r>
      <w:r w:rsidR="00602F71">
        <w:rPr>
          <w:sz w:val="28"/>
          <w:szCs w:val="28"/>
          <w:lang w:val="ru-RU"/>
        </w:rPr>
        <w:t>внутре</w:t>
      </w:r>
      <w:r w:rsidR="00760482">
        <w:rPr>
          <w:sz w:val="28"/>
          <w:szCs w:val="28"/>
          <w:lang w:val="ru-RU"/>
        </w:rPr>
        <w:t>ннего финансового аудита на 2023</w:t>
      </w:r>
      <w:r w:rsidR="00602F71">
        <w:rPr>
          <w:sz w:val="28"/>
          <w:szCs w:val="28"/>
          <w:lang w:val="ru-RU"/>
        </w:rPr>
        <w:t xml:space="preserve"> год (прилагается).</w:t>
      </w:r>
    </w:p>
    <w:p w:rsidR="00602F71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CC77D5">
        <w:rPr>
          <w:sz w:val="28"/>
          <w:szCs w:val="28"/>
          <w:lang w:val="ru-RU"/>
        </w:rPr>
        <w:t>Администрации</w:t>
      </w:r>
      <w:r w:rsidR="00602F71">
        <w:rPr>
          <w:sz w:val="28"/>
          <w:szCs w:val="28"/>
          <w:lang w:val="ru-RU"/>
        </w:rPr>
        <w:t xml:space="preserve">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02F71">
        <w:rPr>
          <w:sz w:val="28"/>
          <w:szCs w:val="28"/>
          <w:lang w:val="ru-RU"/>
        </w:rPr>
        <w:t xml:space="preserve"> сельского поселения Брюховецкого района заключить соглашение о передаче </w:t>
      </w:r>
      <w:r w:rsidR="00F01A39">
        <w:rPr>
          <w:sz w:val="28"/>
          <w:szCs w:val="28"/>
          <w:lang w:val="ru-RU"/>
        </w:rPr>
        <w:t>администрации</w:t>
      </w:r>
      <w:r w:rsidR="00602F71">
        <w:rPr>
          <w:sz w:val="28"/>
          <w:szCs w:val="28"/>
          <w:lang w:val="ru-RU"/>
        </w:rPr>
        <w:t xml:space="preserve"> </w:t>
      </w:r>
      <w:r w:rsidR="00F01A39">
        <w:rPr>
          <w:sz w:val="28"/>
          <w:szCs w:val="28"/>
          <w:lang w:val="ru-RU"/>
        </w:rPr>
        <w:t xml:space="preserve">муниципального </w:t>
      </w:r>
      <w:r w:rsidR="00602F71">
        <w:rPr>
          <w:sz w:val="28"/>
          <w:szCs w:val="28"/>
          <w:lang w:val="ru-RU"/>
        </w:rPr>
        <w:t xml:space="preserve">образования Брюховецкий район полномочий внутреннего финансового аудита администрации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02F71">
        <w:rPr>
          <w:sz w:val="28"/>
          <w:szCs w:val="28"/>
          <w:lang w:val="ru-RU"/>
        </w:rPr>
        <w:t xml:space="preserve"> сельского поселения Брюховецкого района по осуществлению внутре</w:t>
      </w:r>
      <w:r w:rsidR="00760482">
        <w:rPr>
          <w:sz w:val="28"/>
          <w:szCs w:val="28"/>
          <w:lang w:val="ru-RU"/>
        </w:rPr>
        <w:t>ннего финансового аудита на 2023</w:t>
      </w:r>
      <w:r w:rsidR="00602F71">
        <w:rPr>
          <w:sz w:val="28"/>
          <w:szCs w:val="28"/>
          <w:lang w:val="ru-RU"/>
        </w:rPr>
        <w:t xml:space="preserve"> год.</w:t>
      </w:r>
    </w:p>
    <w:p w:rsidR="00602F71" w:rsidRDefault="001C40C0" w:rsidP="00F01A39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="00CC77D5">
        <w:rPr>
          <w:sz w:val="28"/>
          <w:szCs w:val="28"/>
          <w:lang w:val="ru-RU"/>
        </w:rPr>
        <w:t>Предусмотреть в бюджете Чепигин</w:t>
      </w:r>
      <w:r>
        <w:rPr>
          <w:sz w:val="28"/>
          <w:szCs w:val="28"/>
          <w:lang w:val="ru-RU"/>
        </w:rPr>
        <w:t>ского</w:t>
      </w:r>
      <w:r w:rsidR="00602F71">
        <w:rPr>
          <w:sz w:val="28"/>
          <w:szCs w:val="28"/>
          <w:lang w:val="ru-RU"/>
        </w:rPr>
        <w:t xml:space="preserve"> сельского посел</w:t>
      </w:r>
      <w:r w:rsidR="00760482">
        <w:rPr>
          <w:sz w:val="28"/>
          <w:szCs w:val="28"/>
          <w:lang w:val="ru-RU"/>
        </w:rPr>
        <w:t>ения Брюховецкого района на 2023</w:t>
      </w:r>
      <w:r w:rsidR="00602F71">
        <w:rPr>
          <w:sz w:val="28"/>
          <w:szCs w:val="28"/>
          <w:lang w:val="ru-RU"/>
        </w:rPr>
        <w:t xml:space="preserve">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полномочия, рассчитываемые в порядке, определяемом соглашением о передаче </w:t>
      </w:r>
      <w:r w:rsidR="003C0750">
        <w:rPr>
          <w:sz w:val="28"/>
          <w:szCs w:val="28"/>
          <w:lang w:val="ru-RU"/>
        </w:rPr>
        <w:t>внутренн</w:t>
      </w:r>
      <w:r w:rsidR="006C419B">
        <w:rPr>
          <w:sz w:val="28"/>
          <w:szCs w:val="28"/>
          <w:lang w:val="ru-RU"/>
        </w:rPr>
        <w:t>е</w:t>
      </w:r>
      <w:r w:rsidR="003C0750">
        <w:rPr>
          <w:sz w:val="28"/>
          <w:szCs w:val="28"/>
          <w:lang w:val="ru-RU"/>
        </w:rPr>
        <w:t xml:space="preserve">го </w:t>
      </w:r>
      <w:r w:rsidR="00602F71">
        <w:rPr>
          <w:sz w:val="28"/>
          <w:szCs w:val="28"/>
          <w:lang w:val="ru-RU"/>
        </w:rPr>
        <w:t xml:space="preserve">финансового контроля администрации муниципального образования Брюховецкий район полномочий внутреннего финансового аудита администрации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602F71">
        <w:rPr>
          <w:sz w:val="28"/>
          <w:szCs w:val="28"/>
          <w:lang w:val="ru-RU"/>
        </w:rPr>
        <w:t xml:space="preserve"> сельского поселения</w:t>
      </w:r>
      <w:r w:rsidR="00CA2B1C">
        <w:rPr>
          <w:sz w:val="28"/>
          <w:szCs w:val="28"/>
          <w:lang w:val="ru-RU"/>
        </w:rPr>
        <w:t xml:space="preserve"> Брюховецкого района по осуществлению внутре</w:t>
      </w:r>
      <w:r w:rsidR="00760482">
        <w:rPr>
          <w:sz w:val="28"/>
          <w:szCs w:val="28"/>
          <w:lang w:val="ru-RU"/>
        </w:rPr>
        <w:t>ннего финансового аудита на 2023</w:t>
      </w:r>
      <w:r w:rsidR="00CA2B1C">
        <w:rPr>
          <w:sz w:val="28"/>
          <w:szCs w:val="28"/>
          <w:lang w:val="ru-RU"/>
        </w:rPr>
        <w:t xml:space="preserve"> год.</w:t>
      </w:r>
    </w:p>
    <w:p w:rsidR="00CA2B1C" w:rsidRDefault="001C40C0" w:rsidP="00785A2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CA2B1C">
        <w:rPr>
          <w:sz w:val="28"/>
          <w:szCs w:val="28"/>
          <w:lang w:val="ru-RU"/>
        </w:rPr>
        <w:t xml:space="preserve">Установить, что администрация </w:t>
      </w:r>
      <w:r w:rsidR="00CC77D5">
        <w:rPr>
          <w:sz w:val="28"/>
          <w:szCs w:val="28"/>
          <w:lang w:val="ru-RU"/>
        </w:rPr>
        <w:t>Чепигин</w:t>
      </w:r>
      <w:r>
        <w:rPr>
          <w:sz w:val="28"/>
          <w:szCs w:val="28"/>
          <w:lang w:val="ru-RU"/>
        </w:rPr>
        <w:t>ского</w:t>
      </w:r>
      <w:r w:rsidR="00CA2B1C">
        <w:rPr>
          <w:sz w:val="28"/>
          <w:szCs w:val="28"/>
          <w:lang w:val="ru-RU"/>
        </w:rPr>
        <w:t xml:space="preserve">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передаваемого полномочия в объеме и в сроки, установленные соглашением о передаче </w:t>
      </w:r>
      <w:r w:rsidR="003C0750">
        <w:rPr>
          <w:sz w:val="28"/>
          <w:szCs w:val="28"/>
          <w:lang w:val="ru-RU"/>
        </w:rPr>
        <w:t>администрации</w:t>
      </w:r>
      <w:r w:rsidR="00CA2B1C">
        <w:rPr>
          <w:sz w:val="28"/>
          <w:szCs w:val="28"/>
          <w:lang w:val="ru-RU"/>
        </w:rPr>
        <w:t xml:space="preserve"> муниципального образования Брюховецкий район полномочий внутреннего фи</w:t>
      </w:r>
      <w:r>
        <w:rPr>
          <w:sz w:val="28"/>
          <w:szCs w:val="28"/>
          <w:lang w:val="ru-RU"/>
        </w:rPr>
        <w:t>нансовог</w:t>
      </w:r>
      <w:r w:rsidR="00CC77D5">
        <w:rPr>
          <w:sz w:val="28"/>
          <w:szCs w:val="28"/>
          <w:lang w:val="ru-RU"/>
        </w:rPr>
        <w:t>о аудита администрации Чепигин</w:t>
      </w:r>
      <w:r>
        <w:rPr>
          <w:sz w:val="28"/>
          <w:szCs w:val="28"/>
          <w:lang w:val="ru-RU"/>
        </w:rPr>
        <w:t>ского</w:t>
      </w:r>
      <w:r w:rsidR="00CA2B1C">
        <w:rPr>
          <w:sz w:val="28"/>
          <w:szCs w:val="28"/>
          <w:lang w:val="ru-RU"/>
        </w:rPr>
        <w:t xml:space="preserve"> сельского поселения Брюховецкого района по осуществлению внутре</w:t>
      </w:r>
      <w:r w:rsidR="00760482">
        <w:rPr>
          <w:sz w:val="28"/>
          <w:szCs w:val="28"/>
          <w:lang w:val="ru-RU"/>
        </w:rPr>
        <w:t>ннего финансового аудита на 2023</w:t>
      </w:r>
      <w:r w:rsidR="00CA2B1C">
        <w:rPr>
          <w:sz w:val="28"/>
          <w:szCs w:val="28"/>
          <w:lang w:val="ru-RU"/>
        </w:rPr>
        <w:t xml:space="preserve"> год.</w:t>
      </w:r>
    </w:p>
    <w:p w:rsidR="00785A20" w:rsidRPr="00785A20" w:rsidRDefault="001C40C0" w:rsidP="00785A20">
      <w:pPr>
        <w:ind w:firstLine="709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785A20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 xml:space="preserve"> </w:t>
      </w:r>
      <w:r w:rsidR="00785A20" w:rsidRPr="00785A20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 xml:space="preserve">Контроль за выполнением </w:t>
      </w:r>
      <w:r w:rsidR="00785A20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н</w:t>
      </w:r>
      <w:r w:rsidR="006C419B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 xml:space="preserve">астоящего решения возложить на </w:t>
      </w:r>
      <w:r w:rsidR="00785A20" w:rsidRPr="00785A20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депутатскую комиссию по вопросам планирования, бюджету, финансам, учету и муниципальной собственности (</w:t>
      </w:r>
      <w:proofErr w:type="spellStart"/>
      <w:r w:rsidR="00785A20" w:rsidRPr="00785A20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А.Н.Шевченко</w:t>
      </w:r>
      <w:proofErr w:type="spellEnd"/>
      <w:r w:rsidR="00785A20" w:rsidRPr="00785A20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).</w:t>
      </w:r>
    </w:p>
    <w:p w:rsidR="009D305F" w:rsidRDefault="00785A20" w:rsidP="00785A2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C40C0">
        <w:rPr>
          <w:sz w:val="28"/>
          <w:szCs w:val="28"/>
          <w:lang w:val="ru-RU"/>
        </w:rPr>
        <w:t xml:space="preserve">8. </w:t>
      </w:r>
      <w:r w:rsidR="009D305F">
        <w:rPr>
          <w:sz w:val="28"/>
          <w:szCs w:val="28"/>
          <w:lang w:val="ru-RU"/>
        </w:rPr>
        <w:t xml:space="preserve">Решение вступает в силу </w:t>
      </w:r>
      <w:r w:rsidR="00CA2B1C">
        <w:rPr>
          <w:sz w:val="28"/>
          <w:szCs w:val="28"/>
          <w:lang w:val="ru-RU"/>
        </w:rPr>
        <w:t>со дня его официального опубликования</w:t>
      </w:r>
      <w:r w:rsidR="009D305F">
        <w:rPr>
          <w:sz w:val="28"/>
          <w:szCs w:val="28"/>
          <w:lang w:val="ru-RU"/>
        </w:rPr>
        <w:t>.</w:t>
      </w:r>
    </w:p>
    <w:p w:rsidR="009245C2" w:rsidRDefault="009245C2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1C40C0" w:rsidRDefault="001C40C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1C40C0" w:rsidRDefault="001C40C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785A20" w:rsidRDefault="00785A2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Чепигин</w:t>
      </w:r>
      <w:r w:rsidR="00F97A3B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</w:t>
      </w:r>
      <w:r w:rsidR="00F97A3B">
        <w:rPr>
          <w:sz w:val="28"/>
          <w:szCs w:val="28"/>
          <w:lang w:val="ru-RU"/>
        </w:rPr>
        <w:t xml:space="preserve">сельского </w:t>
      </w:r>
    </w:p>
    <w:p w:rsidR="00F97A3B" w:rsidRDefault="00785A20" w:rsidP="00785A2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97A3B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</w:t>
      </w:r>
      <w:r w:rsidR="00F97A3B">
        <w:rPr>
          <w:sz w:val="28"/>
          <w:szCs w:val="28"/>
          <w:lang w:val="ru-RU"/>
        </w:rPr>
        <w:t>Бр</w:t>
      </w:r>
      <w:r>
        <w:rPr>
          <w:sz w:val="28"/>
          <w:szCs w:val="28"/>
          <w:lang w:val="ru-RU"/>
        </w:rPr>
        <w:t>юховецкого района</w:t>
      </w:r>
      <w:r>
        <w:rPr>
          <w:sz w:val="28"/>
          <w:szCs w:val="28"/>
          <w:lang w:val="ru-RU"/>
        </w:rPr>
        <w:tab/>
        <w:t xml:space="preserve">                                              Н.Н.Шинкаренко</w:t>
      </w: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F97A3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785A20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Чепигин</w:t>
      </w:r>
      <w:r w:rsidR="00F97A3B">
        <w:rPr>
          <w:sz w:val="28"/>
          <w:szCs w:val="28"/>
          <w:lang w:val="ru-RU"/>
        </w:rPr>
        <w:t>ского</w:t>
      </w:r>
    </w:p>
    <w:p w:rsidR="00F97A3B" w:rsidRDefault="00F97A3B" w:rsidP="00785A20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785A20">
        <w:rPr>
          <w:sz w:val="28"/>
          <w:szCs w:val="28"/>
          <w:lang w:val="ru-RU"/>
        </w:rPr>
        <w:t xml:space="preserve"> Брюховецкого района</w:t>
      </w:r>
      <w:r w:rsidR="00785A20">
        <w:rPr>
          <w:sz w:val="28"/>
          <w:szCs w:val="28"/>
          <w:lang w:val="ru-RU"/>
        </w:rPr>
        <w:tab/>
        <w:t xml:space="preserve">                          Н.Н.Шинкаренко</w:t>
      </w:r>
    </w:p>
    <w:p w:rsidR="00F97A3B" w:rsidRDefault="00F97A3B" w:rsidP="00F97A3B">
      <w:pPr>
        <w:pStyle w:val="1"/>
        <w:shd w:val="clear" w:color="auto" w:fill="auto"/>
        <w:tabs>
          <w:tab w:val="left" w:pos="1240"/>
          <w:tab w:val="right" w:pos="963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F97A3B" w:rsidRDefault="00F97A3B" w:rsidP="00F97A3B">
      <w:pPr>
        <w:pStyle w:val="1"/>
        <w:shd w:val="clear" w:color="auto" w:fill="auto"/>
        <w:tabs>
          <w:tab w:val="left" w:pos="1240"/>
          <w:tab w:val="right" w:pos="9639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9245C2" w:rsidRDefault="009245C2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C419B" w:rsidRDefault="006C419B" w:rsidP="00D81344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D81344" w:rsidRDefault="00D81344" w:rsidP="00D81344">
      <w:pPr>
        <w:pStyle w:val="1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lastRenderedPageBreak/>
        <w:t>Согласовано: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решением Совета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Чепигинского сельского поселения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Брюховецкого района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от </w:t>
      </w:r>
      <w:proofErr w:type="gramStart"/>
      <w:r w:rsidR="00534E5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25.11.2022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 xml:space="preserve">  №</w:t>
      </w:r>
      <w:proofErr w:type="gramEnd"/>
      <w:r w:rsidR="00534E5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123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Согласовано: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решением Совета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муниципального образования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Брюховецкий район</w:t>
      </w:r>
    </w:p>
    <w:p w:rsidR="0027364A" w:rsidRPr="0027364A" w:rsidRDefault="0027364A" w:rsidP="0027364A">
      <w:pPr>
        <w:ind w:firstLine="5103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от _________________ № ________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b/>
          <w:color w:val="auto"/>
          <w:sz w:val="28"/>
          <w:szCs w:val="22"/>
          <w:lang w:val="ru-RU" w:eastAsia="en-US"/>
        </w:rPr>
        <w:t>СОГЛАШЕНИЕ</w:t>
      </w: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b/>
          <w:color w:val="auto"/>
          <w:sz w:val="28"/>
          <w:szCs w:val="22"/>
          <w:lang w:val="ru-RU" w:eastAsia="en-US"/>
        </w:rPr>
        <w:t>о передаче администрации муниципального образования Брюховецкий район полномочий внутреннего финансового аудита администрации Чепигинского сельского поселения Брюховецкого района по осуществлению внутреннего финансового аудита на 2023 год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В целях реализации  части 4 статьи 15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4 статьи 160.2-1 Бюджетного кодекса Российской Федерации, Уставом Чепигинского сельского поселения Брюховецкого района, постановлением администрации муниципального образования Брюховецкий район от 1 декабря 2021 года № 1459 «Об утверждении Положения об осуществлении администрацией муниципального образования Брюховецкий район внутреннего финансового аудита» (далее – администрация муниципального района) в лице исполняющего обязанности главы муниципального образования Брюховецкий район Ганжа Сергея Васильевича, действующего на основании Устава муниципального образования Брюховецкий район, с одной стороны, и администрация Чепигинского сельского поселения Брюховецкого района (далее – администрация поселения) в лице главы Чепигинского сельского поселения Брюховецкого района Шинкаренко Наталии Николаевны, действующей на основании Устава Чепигинского сельского поселения Брюховецкого района, с другой стороны, далее именуемые «Стороны», заключили настоящее соглашение о нижеследующем.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                             1. Предмет Соглашения</w:t>
      </w: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1.1. Предметом настоящего Соглашения является передача администрации муниципального образования Брюховецкий район полномочий администрации Чепигинского сельского поселения Брюховецкого района по осуществлению внутреннего финансового аудита на 2023 год и передача из бюджета Чепигинского сельского поселения Брюховецкого района в бюджет 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муниципального образования Брюховецкий район иных межбюджетных трансфертов на осуществление переданных полномочий.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1.2. Администрации муниципального образования Брюховецкий район передаются полномочия администрации поселения по осуществлению внутреннего финансового аудита, установленные Бюджетным кодексом Российской Федерации, Уставом Чепигинского сельского поселения Брюховецкого района и нормативными правовыми актами Чепигинского сельского поселения Брюховецкого района в области бюджетных правоотношений.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1.3. Круг вопросов в пределах полномочий администрации муниципального района, возможных к рассмотрению в ходе контрольных мероприятий: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1.4. Вопросы проверок ежегодно по выбору включаются в план работы администрации муниципального образования Брюховецкий района основании предложений администрации поселения, предоставляемых в сроки, установленные для формирования плана работы администрации муниципального образования Брюховецкий район.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1.5. Контрольные мероприятия в рамках вышеуказанных вопросов в соответствии с настоящим соглашением включается в план работы администрации муниципального образования Брюховецкий район. Количество указанных мероприятий определяется с учетом средств, переданных на исполнение полномочий (не менее одного мероприятия в год).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                             2. Срок действия Соглашения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2.1. Соглашение заключено на один год, вступает в силу с 01 января 2023 года и действует до 31 декабря 2023 года.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2.2. В случае если решением Совета Чепигинского сельского поселения Брюховецкого района о бюджете Чепигинского сельского поселения Брюховецкого района не будут утверждены межбюджетные трансферты бюджету муниципального образования Брюховецкий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 Порядок определения и предоставления объема иных межбюджетных трансфертов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3.1. Объем межбюджетных трансфертов,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(далее – объем межбюджетных трансфертов) на 2023 год, определяется по формуле: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                        ОМТ=ФО/КП*КМО*КОР*КОД,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где: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ОМТ – объем межбюджетных трансфертов, передаваемых из бюджета поселения в бюджет района;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ФО – финансовое обеспечение исполнения переданных полномочий,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КП – количество поселений муниципального образования Брюховецкий район, равное 7;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КМО – коэффициент средств материального обеспечения исполнения переданных полномочий;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КОР – коэффициент объема услуг, определенный исходя из численности населения поселения, передающего полномочия;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КОД – коэффициент объема доходов, который определяется исходя из доходной части бюджета поселения.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3.2. Объем межбюджетных трансфертов на период действия настоящего Соглашения, определенный в установленном выше порядке, составляет 100239,60 (сто тысяч двести тридцать девять) рублей 60 копеек.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3.3. Для проведения администрации муниципального образования Брюховецкий район контрольных внеплановых мероприятий в соответствии с 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предложениями администрации поселения, может предоставляться дополнительным объемом иных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3.4. Годовой объем межбюджетных трансфертов, определенный настоящим Соглашением, перечисляется двумя частями в сроки: до 1 апреля 2023 года (не менее ½ годового объема межбюджетных трансфертов) и до 1 октября 2023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3.5. Расходы бюджета поселения на предоставление межбюджетных трансфертов планируются и исполняются в соответствии с лимитом бюджетных обязательств, утвержденных решением о бюджете поселения на соответствующий период.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3.6. Расходы бюджета поселения на предоставление межбюджетных трансфертов и расходы бюджета муниципального образования Брюховецкий район, осуществляемые за счет межбюджетных трансфертов, планируются и исполняются 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3.7. Межбюджетные трансферты зачисляются в бюджет района по коду бюджетной классификации доходов 90220240014050000150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3.8. Перечисление иных межбюджетных трансфертов осуществляется с лицевого счета администрации Чепигинского сельского поселения Брюховецкого района на лицевой счет администрации муниципального образования Брюховецкий район по следующим реквизитам:</w:t>
      </w:r>
    </w:p>
    <w:p w:rsidR="0027364A" w:rsidRPr="0027364A" w:rsidRDefault="0027364A" w:rsidP="0027364A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</w:t>
      </w:r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ИНН 2327004864, КПП 232701001</w:t>
      </w:r>
    </w:p>
    <w:p w:rsidR="0027364A" w:rsidRPr="0027364A" w:rsidRDefault="0027364A" w:rsidP="0027364A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 xml:space="preserve">УФК по Краснодарскому краю (администрация муниципального </w:t>
      </w:r>
      <w:proofErr w:type="gramStart"/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образования  Брюховецкий</w:t>
      </w:r>
      <w:proofErr w:type="gramEnd"/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 xml:space="preserve"> район  л/с 04183015860)</w:t>
      </w:r>
    </w:p>
    <w:p w:rsidR="0027364A" w:rsidRPr="0027364A" w:rsidRDefault="0027364A" w:rsidP="0027364A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р/</w:t>
      </w:r>
      <w:proofErr w:type="spellStart"/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сч</w:t>
      </w:r>
      <w:proofErr w:type="spellEnd"/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 xml:space="preserve"> 0310064300000001180</w:t>
      </w:r>
    </w:p>
    <w:p w:rsidR="0027364A" w:rsidRPr="0027364A" w:rsidRDefault="0027364A" w:rsidP="0027364A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Банк: Южное ГУ Банка России//УФК по Краснодарскому краю               г. Краснодар,</w:t>
      </w:r>
    </w:p>
    <w:p w:rsidR="0027364A" w:rsidRPr="0027364A" w:rsidRDefault="0027364A" w:rsidP="0027364A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БИК 010349101, КБК 902 202 40014 05 0000 150</w:t>
      </w:r>
    </w:p>
    <w:p w:rsidR="0027364A" w:rsidRPr="0027364A" w:rsidRDefault="0027364A" w:rsidP="0027364A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</w:pPr>
      <w:r w:rsidRPr="0027364A">
        <w:rPr>
          <w:rFonts w:ascii="Times New Roman CYR" w:eastAsia="Times New Roman" w:hAnsi="Times New Roman CYR" w:cs="Times New Roman CYR"/>
          <w:color w:val="auto"/>
          <w:sz w:val="28"/>
          <w:szCs w:val="28"/>
          <w:lang w:val="ru-RU"/>
        </w:rPr>
        <w:t>ОКТМО 03610407.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                         4. Права и обязанности сторон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4.1. Администрация муниципального района: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4.1.1. Устанавливает в муниципальных правовых актах полномочия органа внутреннего финансового контроля по осуществлению предусмотренных настоящим Соглашением полномочий.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4.1.2. Устанавливает штатную численность органа внутреннего финансового контроля муниципального образования Брюховецкий район с 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учетом необходимости осуществления предусмотренных настоящим Соглашением полномочий.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4.1.4.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 – техническое обеспечение своей деятельности.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4.1.5.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4.1.6.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(не полного представления) требуемых для проведения контрольного мероприятия документов.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 Орган внутреннего финансового аудита: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4.2.1. Включает в планы своей работы ежегодно в сроки, не противоречащие законодательству – контрольные мероприятия, указанные в п.1.3. настоящего соглашения, с учетом финансовых средств на их исполнение.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 утвержденным Порядком осуществления полномочий по контролю в финансово – бюджетной сфере с учетом предложений инициатора проведения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4.2.4. Направляет акты и заключения по результатам проведенных мероприятий администрации поселения, вправе направлять указанные материалы иным органам местного самоуправления.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4.2.5. Размещает информацию о проведенных мероприятиях на информационном портале муниципального образования Брюховецкий район в сети «Интернет».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4.2.6. Имеет право проводить контрольные мероприятия совместно с другими органами и организациями с привлечением их специалистов и независимых экспертов.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4.2.7. Направляет представления и предписания администрации поселения, другим проверяемым организациям и объектом проверки, принимает другие предусмотренные законодательством меры по устранению и предотвращению выявленных нарушений, уведомления в финансовый орган муниципального образования, УФК по Краснодарскому краю уведомления о применении бюджетных мер принуждения, а также принимает другие 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предусмотренные законодательством меры по устранению и предотвращению выявленных нарушений.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4.2.8.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4.3. Администрация поселения: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4.3.1. Утверждает в решении о бюджете поселения иные межбюджетные трансферты бюджету муниципального образования Брюховецкий район на осуществление переданных полномочий в объеме, определенном в соответствии с предусмотренным настоящим Соглашением порядком, и обеспечивает их своевременное перечисление в бюджет муниципального образования Брюховецкий район.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4.3.2. Направляет администрации муниципального образования Брюховецкий район предложения о проведении в рамках полномочий контрольных и,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4.3.3. Рассматривает отчеты и информацию о результатах контрольных мероприятий, а также представления и предписания администрацией муниципального образования Брюховецкий район, вынесенные по результатам проведения контрольных мероприятий.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4.3.4. Имеет право опубликовать информацию о проведенных мероприятиях в средствах массовой информации, направлять отчеты и информацию о результатах контрольных мероприятий, проведенных администрацией муниципального образования </w:t>
      </w:r>
      <w:proofErr w:type="spellStart"/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Брюховейкий</w:t>
      </w:r>
      <w:proofErr w:type="spellEnd"/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район.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4.3.5. Рассматривает обращения администрации муниципального образования Брюховецкий район по поводу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4.3.6. 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образования Брюховецкий район своих обязательств.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4.4. Стороны имеют право принимать иные меры, необходимые для реализации настоящего Соглашения.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5. Ответственность сторон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5.2. В случае неисполнения либо ненадлежащего исполнения администрацией муниципального образования Брюховецкий район предусмотренных настоящим Соглашением полномочий, администрация 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муниципального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либо не надлежаще проведенные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5.3. Администрация муниципального района за неисполнение полномочий, переданных настоящим Соглашением, при условии поступления иных межбюджетных трансфертов из бюджета сельского поселения в бюджет муниципального района,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муниципального района, от суммы, предусмотренной пунктом 3.5 части 3 Соглашения.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5.4. В случае не перечисления (не полного перечисления) в бюджет муниципального района иных межбюджетных трансфертов администрация муниципального района вправе требовать расторжения данного Соглашения.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6. Срок действия и основания прекращения действия Соглашения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6.1. Срок действия настоящего Соглашения устанавливается с 01.01.2023 года до 31.12.2023 года.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6.3.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6.4.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6.5.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трансфертов, приходящуюся на не проведенные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                         7. Заключительные положения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7.2. Действие настоящего соглашения может быть прекращено досрочно по соглашению сторон. При досрочном прекращении действия Соглашения Сторона должна уведомить другую Сторону не позднее, чем за один месяц до расторжения.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7.3. 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7.4.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проведение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7.5.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трансфертов, приходящуюся на не проведенные мероприятия.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7.7. 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                                         8. Подписи сторон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И.о</w:t>
            </w:r>
            <w:proofErr w:type="spellEnd"/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главы муниципального образования Брюховецкий район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___________________С.В.Ганжа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Чепигинского сельского поселения Брюховецкого района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_________________Н.Н. Шинкаренко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</w:tbl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6C419B" w:rsidRDefault="006C419B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7364A" w:rsidRDefault="0027364A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7364A" w:rsidRDefault="0027364A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>ПРИЛОЖЕНИЕ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 Соглашению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 передаче администрации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муниципального образования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Брюховецкий район полномочий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внутреннего финансового аудита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администрации Чепигинского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сельского поселения Брюховецкого района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по осуществлению внутреннего финансового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аудита на 2023 год</w:t>
      </w:r>
    </w:p>
    <w:p w:rsidR="0027364A" w:rsidRPr="0027364A" w:rsidRDefault="0027364A" w:rsidP="0027364A">
      <w:pPr>
        <w:ind w:firstLine="3969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от</w:t>
      </w:r>
      <w:r w:rsidR="00534E5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25.11.2022 </w:t>
      </w:r>
      <w:bookmarkStart w:id="0" w:name="_GoBack"/>
      <w:bookmarkEnd w:id="0"/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№</w:t>
      </w:r>
      <w:r w:rsidR="00534E5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123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Расчет объема межбюджетных трансфертов, передаваемых на исполнение полномочий по осуществлению внутреннего финансового аудита на 2023 год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Объем межбюджетных трансфертов,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(далее – объем межбюджетных трансфертов) на 2023 год составляет 87 200,00 (восемьдесят семь тысяч двести) рублей и определяется по формуле: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ОМТ=ФО/КП*КМО*КОР*КОД,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где: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ОМТ – объем межбюджетных трансфертов, передаваемых из бюджета поселения в бюджет района;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ФО – финансовое обеспечение исполнения переданных полномочий, включающее стандартные годовые расходы на оплату труда двух главных специалистов отдела финансового контроля с учетом начислений в государственные внебюджетные фонды;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КП – количество поселений муниципального образования Брюховецкий район, равное 7;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КМО – коэффициент средств материального обеспечения исполнения переданных полномочий;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КОР – коэффициент объема услуг, определенный исходя из численности населения поселения, передающего полномочия и устанавливается в следующих значениях: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1) Для сельских поселений, численность населения которых не превышает 5 тысяч человек: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lastRenderedPageBreak/>
              <w:t>Численность населения, чел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Значение коэффициента объема работ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менее 1000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1001-1500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0,25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1501-2000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2001-2500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2501-3000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более 3000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0,7</w:t>
            </w:r>
          </w:p>
        </w:tc>
      </w:tr>
    </w:tbl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2) Для сельских поселений, численность населения которых превышает </w:t>
      </w: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5 тысяч человек: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Численность населения, чел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Значение коэффициента объема работ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5001-7000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1,1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7001-9000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9001-11000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1,8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11001-13000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2,0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13001-15000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15001-17000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3,0</w:t>
            </w:r>
          </w:p>
        </w:tc>
      </w:tr>
    </w:tbl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КОД – коэффициент объема доходов, который определяется исходя из доходной части бюджета поселения. На 01.01.2023 года устанавливается в следующих значениях: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Годовой доход, млн. руб.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Значение коэффициента объема доходов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менее 10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0,75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от 10 - до 20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0,80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от 20 – до 30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0,85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от 30 – до 40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0,90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от 40 – до 50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0,95</w:t>
            </w:r>
          </w:p>
        </w:tc>
      </w:tr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более 50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</w:rPr>
            </w:pPr>
            <w:r w:rsidRPr="0027364A">
              <w:rPr>
                <w:rFonts w:ascii="Times New Roman" w:hAnsi="Times New Roman" w:cs="Times New Roman"/>
                <w:color w:val="auto"/>
              </w:rPr>
              <w:t>1,00</w:t>
            </w:r>
          </w:p>
        </w:tc>
      </w:tr>
    </w:tbl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Объем передаваемых межбюджетных трансфертов при расчете округляется до целых тысяч рублей:</w:t>
      </w:r>
    </w:p>
    <w:p w:rsidR="0027364A" w:rsidRPr="0027364A" w:rsidRDefault="0027364A" w:rsidP="0027364A">
      <w:pPr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 w:rsidRPr="0027364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ОМТ = </w:t>
      </w:r>
      <w:r w:rsidRPr="0027364A">
        <w:rPr>
          <w:rFonts w:ascii="Times New Roman" w:eastAsiaTheme="minorHAnsi" w:hAnsi="Times New Roman" w:cstheme="minorBidi"/>
          <w:color w:val="auto"/>
          <w:sz w:val="28"/>
          <w:szCs w:val="28"/>
          <w:lang w:val="ru-RU" w:eastAsia="en-US"/>
        </w:rPr>
        <w:t>1 376 917,60/8*1,04*0,7*0,8 = 100239,60 (сто тысяч двести тридцать девять) рублей 60 копеек.</w:t>
      </w:r>
    </w:p>
    <w:p w:rsid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7364A" w:rsidRPr="0027364A" w:rsidTr="002B1BA2">
        <w:tc>
          <w:tcPr>
            <w:tcW w:w="4926" w:type="dxa"/>
          </w:tcPr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И.о</w:t>
            </w:r>
            <w:proofErr w:type="spellEnd"/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главы муниципального образования Брюховецкий район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_____________________С.В.Ганжа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27364A" w:rsidRPr="0027364A" w:rsidRDefault="0027364A" w:rsidP="0027364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Чепигинского сельского поселения Брюховецкого района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_________________Н.Н. Шинкаренко</w:t>
            </w:r>
          </w:p>
          <w:p w:rsidR="0027364A" w:rsidRPr="0027364A" w:rsidRDefault="0027364A" w:rsidP="002736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6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</w:tbl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27364A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27364A" w:rsidRPr="0027364A" w:rsidRDefault="0027364A" w:rsidP="001C40C0">
      <w:pPr>
        <w:pStyle w:val="1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</w:p>
    <w:sectPr w:rsidR="0027364A" w:rsidRPr="0027364A" w:rsidSect="001C40C0">
      <w:headerReference w:type="default" r:id="rId8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53" w:rsidRDefault="009B3E53">
      <w:r>
        <w:separator/>
      </w:r>
    </w:p>
  </w:endnote>
  <w:endnote w:type="continuationSeparator" w:id="0">
    <w:p w:rsidR="009B3E53" w:rsidRDefault="009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53" w:rsidRDefault="009B3E53"/>
  </w:footnote>
  <w:footnote w:type="continuationSeparator" w:id="0">
    <w:p w:rsidR="009B3E53" w:rsidRDefault="009B3E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80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32D9" w:rsidRDefault="00EC32D9">
        <w:pPr>
          <w:pStyle w:val="a7"/>
          <w:jc w:val="center"/>
        </w:pPr>
      </w:p>
      <w:p w:rsidR="00EC32D9" w:rsidRPr="008B4891" w:rsidRDefault="00DD1AC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32D9" w:rsidRPr="008B4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E5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B4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32D9" w:rsidRDefault="00EC32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D08"/>
    <w:multiLevelType w:val="hybridMultilevel"/>
    <w:tmpl w:val="DB6093BE"/>
    <w:lvl w:ilvl="0" w:tplc="DBDA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D7A58"/>
    <w:multiLevelType w:val="hybridMultilevel"/>
    <w:tmpl w:val="4CA02F14"/>
    <w:lvl w:ilvl="0" w:tplc="054A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C36CD"/>
    <w:multiLevelType w:val="multilevel"/>
    <w:tmpl w:val="38742F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27CC2"/>
    <w:multiLevelType w:val="hybridMultilevel"/>
    <w:tmpl w:val="57A27866"/>
    <w:lvl w:ilvl="0" w:tplc="AF4C6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66690"/>
    <w:multiLevelType w:val="multilevel"/>
    <w:tmpl w:val="D1DA4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65F7F"/>
    <w:multiLevelType w:val="multilevel"/>
    <w:tmpl w:val="8F425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20F7D"/>
    <w:multiLevelType w:val="multilevel"/>
    <w:tmpl w:val="B27E30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64730"/>
    <w:multiLevelType w:val="multilevel"/>
    <w:tmpl w:val="5DFE4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FA5DA6"/>
    <w:multiLevelType w:val="hybridMultilevel"/>
    <w:tmpl w:val="E1587440"/>
    <w:lvl w:ilvl="0" w:tplc="70BE9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8C75BF"/>
    <w:multiLevelType w:val="multilevel"/>
    <w:tmpl w:val="E3AA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5F64059"/>
    <w:multiLevelType w:val="multilevel"/>
    <w:tmpl w:val="8AC40E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A7C83"/>
    <w:multiLevelType w:val="hybridMultilevel"/>
    <w:tmpl w:val="A5400D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0E34"/>
    <w:multiLevelType w:val="multilevel"/>
    <w:tmpl w:val="1B7C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5249A"/>
    <w:multiLevelType w:val="multilevel"/>
    <w:tmpl w:val="C84E09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A"/>
    <w:rsid w:val="00004449"/>
    <w:rsid w:val="00005F7A"/>
    <w:rsid w:val="00006968"/>
    <w:rsid w:val="00043E69"/>
    <w:rsid w:val="00057AE3"/>
    <w:rsid w:val="00062318"/>
    <w:rsid w:val="00063A9F"/>
    <w:rsid w:val="00066B86"/>
    <w:rsid w:val="000702E0"/>
    <w:rsid w:val="00071A08"/>
    <w:rsid w:val="00071A14"/>
    <w:rsid w:val="00076BCD"/>
    <w:rsid w:val="000771D1"/>
    <w:rsid w:val="000776EF"/>
    <w:rsid w:val="00081AF9"/>
    <w:rsid w:val="000838D2"/>
    <w:rsid w:val="00091CC4"/>
    <w:rsid w:val="00092414"/>
    <w:rsid w:val="000942FF"/>
    <w:rsid w:val="0009563E"/>
    <w:rsid w:val="00097288"/>
    <w:rsid w:val="000979E3"/>
    <w:rsid w:val="00097D80"/>
    <w:rsid w:val="000A4D9F"/>
    <w:rsid w:val="000A5289"/>
    <w:rsid w:val="000B0A84"/>
    <w:rsid w:val="000B2170"/>
    <w:rsid w:val="000B5885"/>
    <w:rsid w:val="000C0F01"/>
    <w:rsid w:val="000C337A"/>
    <w:rsid w:val="000C3527"/>
    <w:rsid w:val="000C371A"/>
    <w:rsid w:val="000C5A9C"/>
    <w:rsid w:val="000D5C9C"/>
    <w:rsid w:val="000D6529"/>
    <w:rsid w:val="000D6EEC"/>
    <w:rsid w:val="000E4F90"/>
    <w:rsid w:val="000E6DBB"/>
    <w:rsid w:val="000F741C"/>
    <w:rsid w:val="00105451"/>
    <w:rsid w:val="001076B7"/>
    <w:rsid w:val="00113016"/>
    <w:rsid w:val="00116C54"/>
    <w:rsid w:val="00125DDE"/>
    <w:rsid w:val="00135BFF"/>
    <w:rsid w:val="001401C3"/>
    <w:rsid w:val="00140AA8"/>
    <w:rsid w:val="00142E2E"/>
    <w:rsid w:val="001607ED"/>
    <w:rsid w:val="001643F6"/>
    <w:rsid w:val="00164E36"/>
    <w:rsid w:val="0018029A"/>
    <w:rsid w:val="0018172D"/>
    <w:rsid w:val="00187BD2"/>
    <w:rsid w:val="001909ED"/>
    <w:rsid w:val="001911E8"/>
    <w:rsid w:val="00193C0E"/>
    <w:rsid w:val="00193E0C"/>
    <w:rsid w:val="001B26BF"/>
    <w:rsid w:val="001B2FA4"/>
    <w:rsid w:val="001B5259"/>
    <w:rsid w:val="001B75E3"/>
    <w:rsid w:val="001C40C0"/>
    <w:rsid w:val="001C7B03"/>
    <w:rsid w:val="001D2C93"/>
    <w:rsid w:val="001E4A8B"/>
    <w:rsid w:val="001E4BB6"/>
    <w:rsid w:val="002002F7"/>
    <w:rsid w:val="00202DA6"/>
    <w:rsid w:val="002108BB"/>
    <w:rsid w:val="00215AD3"/>
    <w:rsid w:val="00226E1A"/>
    <w:rsid w:val="002337E4"/>
    <w:rsid w:val="00236CA1"/>
    <w:rsid w:val="002441E7"/>
    <w:rsid w:val="00247022"/>
    <w:rsid w:val="00250FF9"/>
    <w:rsid w:val="0025334E"/>
    <w:rsid w:val="002536BA"/>
    <w:rsid w:val="0025660C"/>
    <w:rsid w:val="00260221"/>
    <w:rsid w:val="00262884"/>
    <w:rsid w:val="002728AB"/>
    <w:rsid w:val="0027364A"/>
    <w:rsid w:val="00274898"/>
    <w:rsid w:val="002748B1"/>
    <w:rsid w:val="0029156F"/>
    <w:rsid w:val="00292914"/>
    <w:rsid w:val="002A13C0"/>
    <w:rsid w:val="002A1F6A"/>
    <w:rsid w:val="002A25C8"/>
    <w:rsid w:val="002A267B"/>
    <w:rsid w:val="002A686C"/>
    <w:rsid w:val="002B04EA"/>
    <w:rsid w:val="002B1505"/>
    <w:rsid w:val="002B1F34"/>
    <w:rsid w:val="002B22F7"/>
    <w:rsid w:val="002B2723"/>
    <w:rsid w:val="002D1027"/>
    <w:rsid w:val="002D2A91"/>
    <w:rsid w:val="002D74F5"/>
    <w:rsid w:val="002E2A9B"/>
    <w:rsid w:val="002E392D"/>
    <w:rsid w:val="002E6B37"/>
    <w:rsid w:val="002F5F59"/>
    <w:rsid w:val="00300F21"/>
    <w:rsid w:val="00305BF5"/>
    <w:rsid w:val="00305C3B"/>
    <w:rsid w:val="0031068C"/>
    <w:rsid w:val="00311C58"/>
    <w:rsid w:val="00314238"/>
    <w:rsid w:val="00326991"/>
    <w:rsid w:val="00332FCD"/>
    <w:rsid w:val="00335F9A"/>
    <w:rsid w:val="003534A6"/>
    <w:rsid w:val="003569D9"/>
    <w:rsid w:val="00366D10"/>
    <w:rsid w:val="003710C9"/>
    <w:rsid w:val="00371F8E"/>
    <w:rsid w:val="00372070"/>
    <w:rsid w:val="00375533"/>
    <w:rsid w:val="003838BE"/>
    <w:rsid w:val="003862DC"/>
    <w:rsid w:val="00386FCC"/>
    <w:rsid w:val="00390B31"/>
    <w:rsid w:val="00392E15"/>
    <w:rsid w:val="003A1944"/>
    <w:rsid w:val="003A2657"/>
    <w:rsid w:val="003A6F29"/>
    <w:rsid w:val="003B008E"/>
    <w:rsid w:val="003B2916"/>
    <w:rsid w:val="003B5047"/>
    <w:rsid w:val="003C007D"/>
    <w:rsid w:val="003C0750"/>
    <w:rsid w:val="003C2657"/>
    <w:rsid w:val="003C68ED"/>
    <w:rsid w:val="003C7F64"/>
    <w:rsid w:val="003D0EFD"/>
    <w:rsid w:val="003D19D2"/>
    <w:rsid w:val="003D2CF5"/>
    <w:rsid w:val="003D57B8"/>
    <w:rsid w:val="003E026A"/>
    <w:rsid w:val="003E6524"/>
    <w:rsid w:val="003F3612"/>
    <w:rsid w:val="003F4F94"/>
    <w:rsid w:val="0040353C"/>
    <w:rsid w:val="004043FF"/>
    <w:rsid w:val="004044BF"/>
    <w:rsid w:val="00411601"/>
    <w:rsid w:val="00415945"/>
    <w:rsid w:val="00416246"/>
    <w:rsid w:val="00417272"/>
    <w:rsid w:val="004204D9"/>
    <w:rsid w:val="00420EF5"/>
    <w:rsid w:val="004230C4"/>
    <w:rsid w:val="00426939"/>
    <w:rsid w:val="00432DDE"/>
    <w:rsid w:val="00436B86"/>
    <w:rsid w:val="00442C3B"/>
    <w:rsid w:val="00442ED6"/>
    <w:rsid w:val="00443325"/>
    <w:rsid w:val="00443990"/>
    <w:rsid w:val="004507F0"/>
    <w:rsid w:val="00450966"/>
    <w:rsid w:val="00454A7D"/>
    <w:rsid w:val="00455768"/>
    <w:rsid w:val="0045759D"/>
    <w:rsid w:val="00461FD1"/>
    <w:rsid w:val="00467583"/>
    <w:rsid w:val="00477398"/>
    <w:rsid w:val="00477982"/>
    <w:rsid w:val="00480CA7"/>
    <w:rsid w:val="00483826"/>
    <w:rsid w:val="00484BA8"/>
    <w:rsid w:val="00485903"/>
    <w:rsid w:val="00485DFD"/>
    <w:rsid w:val="00486B30"/>
    <w:rsid w:val="00487359"/>
    <w:rsid w:val="0049251D"/>
    <w:rsid w:val="004949CB"/>
    <w:rsid w:val="0049503A"/>
    <w:rsid w:val="004A159F"/>
    <w:rsid w:val="004B16AF"/>
    <w:rsid w:val="004B6184"/>
    <w:rsid w:val="004B77C2"/>
    <w:rsid w:val="004C4BF8"/>
    <w:rsid w:val="004C538F"/>
    <w:rsid w:val="004C7DE3"/>
    <w:rsid w:val="004C7FD4"/>
    <w:rsid w:val="004D0330"/>
    <w:rsid w:val="004D4016"/>
    <w:rsid w:val="004D43AE"/>
    <w:rsid w:val="004E0C91"/>
    <w:rsid w:val="004E4403"/>
    <w:rsid w:val="004F5750"/>
    <w:rsid w:val="004F5DAD"/>
    <w:rsid w:val="00504D12"/>
    <w:rsid w:val="005073E3"/>
    <w:rsid w:val="00516421"/>
    <w:rsid w:val="00521E4A"/>
    <w:rsid w:val="00525743"/>
    <w:rsid w:val="00530600"/>
    <w:rsid w:val="005330B6"/>
    <w:rsid w:val="005330DF"/>
    <w:rsid w:val="00534E5A"/>
    <w:rsid w:val="00542333"/>
    <w:rsid w:val="0054339B"/>
    <w:rsid w:val="00543F90"/>
    <w:rsid w:val="00544BDB"/>
    <w:rsid w:val="0055359F"/>
    <w:rsid w:val="005840C2"/>
    <w:rsid w:val="0058668B"/>
    <w:rsid w:val="005A35D7"/>
    <w:rsid w:val="005A3E97"/>
    <w:rsid w:val="005A554D"/>
    <w:rsid w:val="005A6F6A"/>
    <w:rsid w:val="005B2D13"/>
    <w:rsid w:val="005C3810"/>
    <w:rsid w:val="005C573C"/>
    <w:rsid w:val="005C5759"/>
    <w:rsid w:val="005C6CB4"/>
    <w:rsid w:val="005C79F0"/>
    <w:rsid w:val="005D1034"/>
    <w:rsid w:val="005D1EA3"/>
    <w:rsid w:val="005E1B6F"/>
    <w:rsid w:val="005E5425"/>
    <w:rsid w:val="005E6A93"/>
    <w:rsid w:val="005F0B6F"/>
    <w:rsid w:val="005F344C"/>
    <w:rsid w:val="005F5241"/>
    <w:rsid w:val="005F535B"/>
    <w:rsid w:val="005F6C55"/>
    <w:rsid w:val="00601BC8"/>
    <w:rsid w:val="00602F71"/>
    <w:rsid w:val="006042DA"/>
    <w:rsid w:val="00605F61"/>
    <w:rsid w:val="006206DD"/>
    <w:rsid w:val="00622EEB"/>
    <w:rsid w:val="00625DED"/>
    <w:rsid w:val="00626723"/>
    <w:rsid w:val="006274CF"/>
    <w:rsid w:val="00627EC5"/>
    <w:rsid w:val="00630585"/>
    <w:rsid w:val="00630E54"/>
    <w:rsid w:val="00632385"/>
    <w:rsid w:val="0063239B"/>
    <w:rsid w:val="00633AC4"/>
    <w:rsid w:val="00640A2E"/>
    <w:rsid w:val="006413EA"/>
    <w:rsid w:val="00641E9A"/>
    <w:rsid w:val="00642CDE"/>
    <w:rsid w:val="00643BFA"/>
    <w:rsid w:val="00646DAA"/>
    <w:rsid w:val="006507B6"/>
    <w:rsid w:val="00653C6F"/>
    <w:rsid w:val="0065460B"/>
    <w:rsid w:val="006649D7"/>
    <w:rsid w:val="0067044F"/>
    <w:rsid w:val="00671795"/>
    <w:rsid w:val="00673589"/>
    <w:rsid w:val="00683825"/>
    <w:rsid w:val="00685ACC"/>
    <w:rsid w:val="0068635C"/>
    <w:rsid w:val="006A1539"/>
    <w:rsid w:val="006A3E6F"/>
    <w:rsid w:val="006C1618"/>
    <w:rsid w:val="006C2F0C"/>
    <w:rsid w:val="006C341F"/>
    <w:rsid w:val="006C419B"/>
    <w:rsid w:val="006C528F"/>
    <w:rsid w:val="006D5632"/>
    <w:rsid w:val="006F4663"/>
    <w:rsid w:val="00701C14"/>
    <w:rsid w:val="0070466F"/>
    <w:rsid w:val="00705B1C"/>
    <w:rsid w:val="00707E84"/>
    <w:rsid w:val="00707FDD"/>
    <w:rsid w:val="0071334C"/>
    <w:rsid w:val="007174FE"/>
    <w:rsid w:val="0072751C"/>
    <w:rsid w:val="0073098D"/>
    <w:rsid w:val="00735E5A"/>
    <w:rsid w:val="007378A8"/>
    <w:rsid w:val="007526E2"/>
    <w:rsid w:val="00753A82"/>
    <w:rsid w:val="00760482"/>
    <w:rsid w:val="00760DDB"/>
    <w:rsid w:val="007635D4"/>
    <w:rsid w:val="00767253"/>
    <w:rsid w:val="00775D52"/>
    <w:rsid w:val="007770FF"/>
    <w:rsid w:val="00777C73"/>
    <w:rsid w:val="00785A20"/>
    <w:rsid w:val="00797B87"/>
    <w:rsid w:val="007A47DD"/>
    <w:rsid w:val="007A5CE6"/>
    <w:rsid w:val="007A7C45"/>
    <w:rsid w:val="007B25D1"/>
    <w:rsid w:val="007C0BFD"/>
    <w:rsid w:val="007C4B08"/>
    <w:rsid w:val="007D0CAC"/>
    <w:rsid w:val="007D4CC1"/>
    <w:rsid w:val="007E0FC5"/>
    <w:rsid w:val="007E44E7"/>
    <w:rsid w:val="007F1D7D"/>
    <w:rsid w:val="007F6E23"/>
    <w:rsid w:val="00807674"/>
    <w:rsid w:val="00811E36"/>
    <w:rsid w:val="00821B52"/>
    <w:rsid w:val="0083258B"/>
    <w:rsid w:val="00832EA7"/>
    <w:rsid w:val="00834869"/>
    <w:rsid w:val="00835FEE"/>
    <w:rsid w:val="008415E0"/>
    <w:rsid w:val="00841D69"/>
    <w:rsid w:val="00855DD7"/>
    <w:rsid w:val="00857B90"/>
    <w:rsid w:val="00860C63"/>
    <w:rsid w:val="00874F29"/>
    <w:rsid w:val="00883807"/>
    <w:rsid w:val="00892311"/>
    <w:rsid w:val="00896F45"/>
    <w:rsid w:val="008A06AE"/>
    <w:rsid w:val="008A1AF6"/>
    <w:rsid w:val="008A7A0E"/>
    <w:rsid w:val="008B4891"/>
    <w:rsid w:val="008B5B87"/>
    <w:rsid w:val="008C0773"/>
    <w:rsid w:val="008C0C07"/>
    <w:rsid w:val="008C3629"/>
    <w:rsid w:val="008C51D2"/>
    <w:rsid w:val="008C61A6"/>
    <w:rsid w:val="008E0193"/>
    <w:rsid w:val="008E0F2A"/>
    <w:rsid w:val="008E5CF3"/>
    <w:rsid w:val="008F1709"/>
    <w:rsid w:val="008F383B"/>
    <w:rsid w:val="008F49D6"/>
    <w:rsid w:val="008F4C41"/>
    <w:rsid w:val="008F5B34"/>
    <w:rsid w:val="00902CD0"/>
    <w:rsid w:val="00905C44"/>
    <w:rsid w:val="00913F83"/>
    <w:rsid w:val="009215BC"/>
    <w:rsid w:val="00921D30"/>
    <w:rsid w:val="009245C2"/>
    <w:rsid w:val="00925AAB"/>
    <w:rsid w:val="009343A9"/>
    <w:rsid w:val="009360CF"/>
    <w:rsid w:val="00936A40"/>
    <w:rsid w:val="0094522D"/>
    <w:rsid w:val="00952D02"/>
    <w:rsid w:val="00953E17"/>
    <w:rsid w:val="00956072"/>
    <w:rsid w:val="0097249F"/>
    <w:rsid w:val="00985223"/>
    <w:rsid w:val="009A1C79"/>
    <w:rsid w:val="009A79ED"/>
    <w:rsid w:val="009A7AD7"/>
    <w:rsid w:val="009A7B49"/>
    <w:rsid w:val="009B3E53"/>
    <w:rsid w:val="009B5325"/>
    <w:rsid w:val="009C1408"/>
    <w:rsid w:val="009C1D64"/>
    <w:rsid w:val="009C2566"/>
    <w:rsid w:val="009D0E26"/>
    <w:rsid w:val="009D1F7E"/>
    <w:rsid w:val="009D305F"/>
    <w:rsid w:val="009E16E0"/>
    <w:rsid w:val="009E3D51"/>
    <w:rsid w:val="009F0894"/>
    <w:rsid w:val="009F3A11"/>
    <w:rsid w:val="009F3BE3"/>
    <w:rsid w:val="009F4AD6"/>
    <w:rsid w:val="009F5148"/>
    <w:rsid w:val="009F6411"/>
    <w:rsid w:val="00A02D3C"/>
    <w:rsid w:val="00A041A6"/>
    <w:rsid w:val="00A04E83"/>
    <w:rsid w:val="00A07648"/>
    <w:rsid w:val="00A12EC0"/>
    <w:rsid w:val="00A14B83"/>
    <w:rsid w:val="00A1551A"/>
    <w:rsid w:val="00A20367"/>
    <w:rsid w:val="00A336F0"/>
    <w:rsid w:val="00A3710F"/>
    <w:rsid w:val="00A37AA3"/>
    <w:rsid w:val="00A40147"/>
    <w:rsid w:val="00A43DCA"/>
    <w:rsid w:val="00A45FE4"/>
    <w:rsid w:val="00A50D4A"/>
    <w:rsid w:val="00A520D5"/>
    <w:rsid w:val="00A53BC1"/>
    <w:rsid w:val="00A548ED"/>
    <w:rsid w:val="00A62C9C"/>
    <w:rsid w:val="00A66A03"/>
    <w:rsid w:val="00A703C5"/>
    <w:rsid w:val="00A75890"/>
    <w:rsid w:val="00A762C8"/>
    <w:rsid w:val="00A82BE7"/>
    <w:rsid w:val="00A85930"/>
    <w:rsid w:val="00A906FE"/>
    <w:rsid w:val="00A92A22"/>
    <w:rsid w:val="00A93301"/>
    <w:rsid w:val="00A93F2C"/>
    <w:rsid w:val="00A96235"/>
    <w:rsid w:val="00AA0C3C"/>
    <w:rsid w:val="00AA2128"/>
    <w:rsid w:val="00AA3A5C"/>
    <w:rsid w:val="00AA69AD"/>
    <w:rsid w:val="00AB35E9"/>
    <w:rsid w:val="00AC2553"/>
    <w:rsid w:val="00AD074C"/>
    <w:rsid w:val="00AD7851"/>
    <w:rsid w:val="00AE058D"/>
    <w:rsid w:val="00AE30CC"/>
    <w:rsid w:val="00AE6BB9"/>
    <w:rsid w:val="00AE76DF"/>
    <w:rsid w:val="00AF3C9A"/>
    <w:rsid w:val="00B020F7"/>
    <w:rsid w:val="00B03581"/>
    <w:rsid w:val="00B07F02"/>
    <w:rsid w:val="00B14C07"/>
    <w:rsid w:val="00B2744C"/>
    <w:rsid w:val="00B34397"/>
    <w:rsid w:val="00B3585E"/>
    <w:rsid w:val="00B4358B"/>
    <w:rsid w:val="00B43690"/>
    <w:rsid w:val="00B473F0"/>
    <w:rsid w:val="00B51419"/>
    <w:rsid w:val="00B51868"/>
    <w:rsid w:val="00B5216B"/>
    <w:rsid w:val="00B53CA5"/>
    <w:rsid w:val="00B57603"/>
    <w:rsid w:val="00B57E19"/>
    <w:rsid w:val="00B62228"/>
    <w:rsid w:val="00B63DE7"/>
    <w:rsid w:val="00B7280F"/>
    <w:rsid w:val="00B810D4"/>
    <w:rsid w:val="00B823B7"/>
    <w:rsid w:val="00B84953"/>
    <w:rsid w:val="00B8497C"/>
    <w:rsid w:val="00B94EA9"/>
    <w:rsid w:val="00BB5401"/>
    <w:rsid w:val="00BC1AE3"/>
    <w:rsid w:val="00BC5637"/>
    <w:rsid w:val="00BD04F2"/>
    <w:rsid w:val="00BD2751"/>
    <w:rsid w:val="00BD7699"/>
    <w:rsid w:val="00BE4B37"/>
    <w:rsid w:val="00BE4FEF"/>
    <w:rsid w:val="00BF232C"/>
    <w:rsid w:val="00BF459C"/>
    <w:rsid w:val="00BF4957"/>
    <w:rsid w:val="00BF74A2"/>
    <w:rsid w:val="00BF7FD1"/>
    <w:rsid w:val="00C0106A"/>
    <w:rsid w:val="00C0329B"/>
    <w:rsid w:val="00C14FB7"/>
    <w:rsid w:val="00C246D0"/>
    <w:rsid w:val="00C269AD"/>
    <w:rsid w:val="00C26C22"/>
    <w:rsid w:val="00C30C22"/>
    <w:rsid w:val="00C33C1E"/>
    <w:rsid w:val="00C365C0"/>
    <w:rsid w:val="00C36912"/>
    <w:rsid w:val="00C42879"/>
    <w:rsid w:val="00C43374"/>
    <w:rsid w:val="00C45982"/>
    <w:rsid w:val="00C47AD1"/>
    <w:rsid w:val="00C51A50"/>
    <w:rsid w:val="00C65654"/>
    <w:rsid w:val="00C67A7C"/>
    <w:rsid w:val="00C736E3"/>
    <w:rsid w:val="00C73C85"/>
    <w:rsid w:val="00C76695"/>
    <w:rsid w:val="00C8010B"/>
    <w:rsid w:val="00C81553"/>
    <w:rsid w:val="00C850C9"/>
    <w:rsid w:val="00C85A8B"/>
    <w:rsid w:val="00C92066"/>
    <w:rsid w:val="00C92609"/>
    <w:rsid w:val="00C9299D"/>
    <w:rsid w:val="00C95712"/>
    <w:rsid w:val="00C975F8"/>
    <w:rsid w:val="00CA00B7"/>
    <w:rsid w:val="00CA0F01"/>
    <w:rsid w:val="00CA2B1C"/>
    <w:rsid w:val="00CA482B"/>
    <w:rsid w:val="00CB1701"/>
    <w:rsid w:val="00CB71D6"/>
    <w:rsid w:val="00CC77D5"/>
    <w:rsid w:val="00CD0EEA"/>
    <w:rsid w:val="00CE397D"/>
    <w:rsid w:val="00CE5721"/>
    <w:rsid w:val="00CE6ABA"/>
    <w:rsid w:val="00CF01F5"/>
    <w:rsid w:val="00CF661B"/>
    <w:rsid w:val="00CF7D50"/>
    <w:rsid w:val="00D14CCB"/>
    <w:rsid w:val="00D27EF7"/>
    <w:rsid w:val="00D30BF6"/>
    <w:rsid w:val="00D348F9"/>
    <w:rsid w:val="00D46BAF"/>
    <w:rsid w:val="00D47F77"/>
    <w:rsid w:val="00D53ADA"/>
    <w:rsid w:val="00D53E71"/>
    <w:rsid w:val="00D56271"/>
    <w:rsid w:val="00D56944"/>
    <w:rsid w:val="00D605AB"/>
    <w:rsid w:val="00D67FCB"/>
    <w:rsid w:val="00D7027A"/>
    <w:rsid w:val="00D72848"/>
    <w:rsid w:val="00D81344"/>
    <w:rsid w:val="00D84D2D"/>
    <w:rsid w:val="00D857B5"/>
    <w:rsid w:val="00D93D44"/>
    <w:rsid w:val="00D9695A"/>
    <w:rsid w:val="00D96BA8"/>
    <w:rsid w:val="00DA4FEC"/>
    <w:rsid w:val="00DB069C"/>
    <w:rsid w:val="00DB2034"/>
    <w:rsid w:val="00DB6A56"/>
    <w:rsid w:val="00DC3141"/>
    <w:rsid w:val="00DC34E0"/>
    <w:rsid w:val="00DC687F"/>
    <w:rsid w:val="00DC7AFB"/>
    <w:rsid w:val="00DD1ACF"/>
    <w:rsid w:val="00DD2517"/>
    <w:rsid w:val="00DD57FD"/>
    <w:rsid w:val="00DD70C9"/>
    <w:rsid w:val="00DE327B"/>
    <w:rsid w:val="00DE3DE3"/>
    <w:rsid w:val="00DE4287"/>
    <w:rsid w:val="00DE6065"/>
    <w:rsid w:val="00E05569"/>
    <w:rsid w:val="00E1064E"/>
    <w:rsid w:val="00E14979"/>
    <w:rsid w:val="00E20F25"/>
    <w:rsid w:val="00E23715"/>
    <w:rsid w:val="00E3151A"/>
    <w:rsid w:val="00E32B26"/>
    <w:rsid w:val="00E4215E"/>
    <w:rsid w:val="00E42345"/>
    <w:rsid w:val="00E440C8"/>
    <w:rsid w:val="00E449C2"/>
    <w:rsid w:val="00E56083"/>
    <w:rsid w:val="00E67C15"/>
    <w:rsid w:val="00E70284"/>
    <w:rsid w:val="00E74D58"/>
    <w:rsid w:val="00E74E85"/>
    <w:rsid w:val="00E75492"/>
    <w:rsid w:val="00E80C17"/>
    <w:rsid w:val="00E911B1"/>
    <w:rsid w:val="00E94703"/>
    <w:rsid w:val="00E9675D"/>
    <w:rsid w:val="00EA615D"/>
    <w:rsid w:val="00EA6736"/>
    <w:rsid w:val="00EB1C44"/>
    <w:rsid w:val="00EB36FC"/>
    <w:rsid w:val="00EB6184"/>
    <w:rsid w:val="00EC32D9"/>
    <w:rsid w:val="00EC3927"/>
    <w:rsid w:val="00EC7A93"/>
    <w:rsid w:val="00EE22A6"/>
    <w:rsid w:val="00EE6282"/>
    <w:rsid w:val="00EF2977"/>
    <w:rsid w:val="00F01A39"/>
    <w:rsid w:val="00F04840"/>
    <w:rsid w:val="00F1217F"/>
    <w:rsid w:val="00F12AFC"/>
    <w:rsid w:val="00F13DEC"/>
    <w:rsid w:val="00F146ED"/>
    <w:rsid w:val="00F178CD"/>
    <w:rsid w:val="00F22416"/>
    <w:rsid w:val="00F22570"/>
    <w:rsid w:val="00F22731"/>
    <w:rsid w:val="00F22FD7"/>
    <w:rsid w:val="00F328A6"/>
    <w:rsid w:val="00F3377E"/>
    <w:rsid w:val="00F34A2B"/>
    <w:rsid w:val="00F40624"/>
    <w:rsid w:val="00F43B8D"/>
    <w:rsid w:val="00F44722"/>
    <w:rsid w:val="00F51796"/>
    <w:rsid w:val="00F56794"/>
    <w:rsid w:val="00F601B3"/>
    <w:rsid w:val="00F6174F"/>
    <w:rsid w:val="00F64F90"/>
    <w:rsid w:val="00F76075"/>
    <w:rsid w:val="00F77D64"/>
    <w:rsid w:val="00F80E93"/>
    <w:rsid w:val="00F80EE4"/>
    <w:rsid w:val="00F92641"/>
    <w:rsid w:val="00F94582"/>
    <w:rsid w:val="00F95A64"/>
    <w:rsid w:val="00F96B1C"/>
    <w:rsid w:val="00F97A3B"/>
    <w:rsid w:val="00FA25CA"/>
    <w:rsid w:val="00FA3484"/>
    <w:rsid w:val="00FA4AA1"/>
    <w:rsid w:val="00FB3558"/>
    <w:rsid w:val="00FB3982"/>
    <w:rsid w:val="00FB5045"/>
    <w:rsid w:val="00FB6955"/>
    <w:rsid w:val="00FC2188"/>
    <w:rsid w:val="00FD0CA2"/>
    <w:rsid w:val="00FD268E"/>
    <w:rsid w:val="00FD574B"/>
    <w:rsid w:val="00FD6870"/>
    <w:rsid w:val="00FF4498"/>
    <w:rsid w:val="00FF5F3F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51B3-F3A5-4F37-B9D3-E61FE6B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TimesNewRoman125pt">
    <w:name w:val="Заголовок №1 + Times New Roman;12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2">
    <w:name w:val="Заголовок №1"/>
    <w:basedOn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1pt">
    <w:name w:val="Колонтитул + 9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outlineLvl w:val="0"/>
    </w:pPr>
    <w:rPr>
      <w:rFonts w:ascii="Consolas" w:eastAsia="Consolas" w:hAnsi="Consolas" w:cs="Consolas"/>
      <w:b/>
      <w:bCs/>
      <w:i/>
      <w:iCs/>
      <w:sz w:val="31"/>
      <w:szCs w:val="3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85E"/>
    <w:rPr>
      <w:color w:val="000000"/>
    </w:rPr>
  </w:style>
  <w:style w:type="paragraph" w:styleId="a9">
    <w:name w:val="footer"/>
    <w:basedOn w:val="a"/>
    <w:link w:val="aa"/>
    <w:uiPriority w:val="99"/>
    <w:unhideWhenUsed/>
    <w:rsid w:val="00B35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85E"/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B3585E"/>
    <w:pPr>
      <w:spacing w:after="120"/>
      <w:ind w:firstLine="709"/>
      <w:jc w:val="right"/>
    </w:pPr>
    <w:rPr>
      <w:rFonts w:ascii="Times New Roman" w:eastAsia="Calibri" w:hAnsi="Times New Roman" w:cs="Times New Roman"/>
      <w:color w:val="auto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3585E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F64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6411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543F90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E026A"/>
    <w:pPr>
      <w:ind w:left="720"/>
      <w:contextualSpacing/>
    </w:pPr>
  </w:style>
  <w:style w:type="table" w:styleId="af0">
    <w:name w:val="Table Grid"/>
    <w:basedOn w:val="a1"/>
    <w:uiPriority w:val="59"/>
    <w:rsid w:val="00C8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315D-0137-4A08-89B9-09BBFCC9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Борисов</dc:creator>
  <cp:lastModifiedBy>ChepSP</cp:lastModifiedBy>
  <cp:revision>14</cp:revision>
  <cp:lastPrinted>2022-11-28T05:44:00Z</cp:lastPrinted>
  <dcterms:created xsi:type="dcterms:W3CDTF">2021-12-09T07:17:00Z</dcterms:created>
  <dcterms:modified xsi:type="dcterms:W3CDTF">2022-11-28T05:47:00Z</dcterms:modified>
</cp:coreProperties>
</file>