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F4" w:rsidRPr="00095687" w:rsidRDefault="00DB74DA" w:rsidP="0009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</w:p>
    <w:p w:rsidR="00095687" w:rsidRDefault="00095687" w:rsidP="00095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8F4" w:rsidRPr="00095687" w:rsidRDefault="00DB74DA" w:rsidP="0009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2B28F4" w:rsidRPr="002B28F4" w:rsidRDefault="002B28F4" w:rsidP="002B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8F4" w:rsidRDefault="002B28F4" w:rsidP="00DB74D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2B28F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 район</w:t>
      </w:r>
      <w:r w:rsidRPr="002B2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28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- Администрация) </w:t>
      </w:r>
      <w:r w:rsidR="00DB74DA" w:rsidRPr="00DB74DA">
        <w:rPr>
          <w:rFonts w:ascii="Times New Roman" w:hAnsi="Times New Roman" w:cs="Times New Roman"/>
          <w:sz w:val="28"/>
          <w:szCs w:val="28"/>
        </w:rPr>
        <w:t xml:space="preserve">информирует о проведении общественного обсуждения проекта программы </w:t>
      </w:r>
      <w:r w:rsidR="00DB74DA">
        <w:rPr>
          <w:rFonts w:ascii="Times New Roman" w:hAnsi="Times New Roman" w:cs="Times New Roman"/>
          <w:sz w:val="28"/>
          <w:szCs w:val="28"/>
        </w:rPr>
        <w:t>«</w:t>
      </w:r>
      <w:r w:rsidR="00DB74DA" w:rsidRPr="00DB74DA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</w:t>
      </w:r>
      <w:r w:rsidR="004A6CCA">
        <w:rPr>
          <w:rFonts w:ascii="Times New Roman" w:hAnsi="Times New Roman" w:cs="Times New Roman"/>
          <w:sz w:val="28"/>
          <w:szCs w:val="28"/>
        </w:rPr>
        <w:t>тям по муниципальному жилищному</w:t>
      </w:r>
      <w:r w:rsidR="00DB74DA" w:rsidRPr="00DB74DA">
        <w:rPr>
          <w:rFonts w:ascii="Times New Roman" w:hAnsi="Times New Roman" w:cs="Times New Roman"/>
          <w:sz w:val="28"/>
          <w:szCs w:val="28"/>
        </w:rPr>
        <w:t xml:space="preserve"> контролю на территории муниципального образования </w:t>
      </w:r>
      <w:proofErr w:type="spellStart"/>
      <w:r w:rsidR="00DB74DA">
        <w:rPr>
          <w:rFonts w:ascii="Times New Roman" w:hAnsi="Times New Roman" w:cs="Times New Roman"/>
          <w:sz w:val="28"/>
          <w:szCs w:val="28"/>
        </w:rPr>
        <w:t>Брюховецкий</w:t>
      </w:r>
      <w:r w:rsidR="00DB74DA" w:rsidRPr="00DB74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B74DA" w:rsidRPr="00DB74DA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7D0889">
        <w:rPr>
          <w:rFonts w:ascii="Times New Roman" w:hAnsi="Times New Roman" w:cs="Times New Roman"/>
          <w:sz w:val="28"/>
          <w:szCs w:val="28"/>
        </w:rPr>
        <w:t>5</w:t>
      </w:r>
      <w:r w:rsidR="00DB74DA" w:rsidRPr="00DB74DA">
        <w:rPr>
          <w:rFonts w:ascii="Times New Roman" w:hAnsi="Times New Roman" w:cs="Times New Roman"/>
          <w:sz w:val="28"/>
          <w:szCs w:val="28"/>
        </w:rPr>
        <w:t xml:space="preserve"> год</w:t>
      </w:r>
      <w:r w:rsidR="00DB74DA">
        <w:rPr>
          <w:rFonts w:ascii="Times New Roman" w:hAnsi="Times New Roman" w:cs="Times New Roman"/>
          <w:sz w:val="28"/>
          <w:szCs w:val="28"/>
        </w:rPr>
        <w:t>».</w:t>
      </w:r>
    </w:p>
    <w:p w:rsidR="00DB74DA" w:rsidRPr="002B28F4" w:rsidRDefault="00DB74DA" w:rsidP="00DB74DA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74DA">
        <w:rPr>
          <w:rFonts w:ascii="Times New Roman" w:hAnsi="Times New Roman" w:cs="Times New Roman"/>
          <w:sz w:val="28"/>
          <w:szCs w:val="28"/>
        </w:rPr>
        <w:t xml:space="preserve">Форма общественного обсуждения – размещение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</w:t>
      </w:r>
      <w:r w:rsidRPr="00DB74D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B74DA">
        <w:t xml:space="preserve"> </w:t>
      </w:r>
      <w:r>
        <w:t xml:space="preserve"> </w:t>
      </w:r>
      <w:r w:rsidR="004A6CCA">
        <w:t xml:space="preserve">          </w:t>
      </w:r>
      <w:r w:rsidRPr="00DB74DA">
        <w:rPr>
          <w:rFonts w:ascii="Times New Roman" w:hAnsi="Times New Roman" w:cs="Times New Roman"/>
          <w:sz w:val="28"/>
          <w:szCs w:val="28"/>
        </w:rPr>
        <w:t>в инф</w:t>
      </w:r>
      <w:r w:rsidR="004A6CCA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«Интернет» </w:t>
      </w:r>
      <w:r w:rsidRPr="00DB74DA">
        <w:rPr>
          <w:rFonts w:ascii="Times New Roman" w:hAnsi="Times New Roman" w:cs="Times New Roman"/>
          <w:sz w:val="28"/>
          <w:szCs w:val="28"/>
        </w:rPr>
        <w:t>https://</w:t>
      </w:r>
      <w:r w:rsidR="004A6CCA">
        <w:rPr>
          <w:rFonts w:ascii="Times New Roman" w:hAnsi="Times New Roman" w:cs="Times New Roman"/>
          <w:sz w:val="28"/>
          <w:szCs w:val="28"/>
        </w:rPr>
        <w:t>bruhoveckaya.ru/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vlast</w:t>
      </w:r>
      <w:proofErr w:type="spellEnd"/>
      <w:r w:rsidR="004A6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administraciya</w:t>
      </w:r>
      <w:proofErr w:type="spellEnd"/>
      <w:r w:rsidR="004A6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otdels</w:t>
      </w:r>
      <w:proofErr w:type="spellEnd"/>
      <w:r w:rsidR="004A6C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="004A6CCA" w:rsidRPr="004A6C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arx</w:t>
      </w:r>
      <w:proofErr w:type="spellEnd"/>
      <w:r w:rsidR="004A6CCA" w:rsidRPr="004A6CC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A6CCA">
        <w:rPr>
          <w:rFonts w:ascii="Times New Roman" w:hAnsi="Times New Roman" w:cs="Times New Roman"/>
          <w:sz w:val="28"/>
          <w:szCs w:val="28"/>
          <w:lang w:val="en-US"/>
        </w:rPr>
        <w:t>zhkh</w:t>
      </w:r>
      <w:proofErr w:type="spellEnd"/>
      <w:r w:rsidR="004A6CCA">
        <w:rPr>
          <w:rFonts w:ascii="Times New Roman" w:hAnsi="Times New Roman" w:cs="Times New Roman"/>
          <w:sz w:val="28"/>
          <w:szCs w:val="28"/>
        </w:rPr>
        <w:t xml:space="preserve">/ </w:t>
      </w:r>
      <w:r w:rsidR="007D0889">
        <w:rPr>
          <w:rFonts w:ascii="Times New Roman" w:hAnsi="Times New Roman" w:cs="Times New Roman"/>
          <w:sz w:val="28"/>
          <w:szCs w:val="28"/>
        </w:rPr>
        <w:t xml:space="preserve"> </w:t>
      </w:r>
      <w:r w:rsidR="004A6CCA">
        <w:rPr>
          <w:rFonts w:ascii="Times New Roman" w:hAnsi="Times New Roman" w:cs="Times New Roman"/>
          <w:sz w:val="28"/>
          <w:szCs w:val="28"/>
        </w:rPr>
        <w:t>в разделе муниципальный жилищный контроль</w:t>
      </w:r>
      <w:r w:rsidRPr="00DB74DA">
        <w:rPr>
          <w:rFonts w:ascii="Times New Roman" w:hAnsi="Times New Roman" w:cs="Times New Roman"/>
          <w:sz w:val="28"/>
          <w:szCs w:val="28"/>
        </w:rPr>
        <w:t>.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2. Предлагаем ознакомиться с проектом и направить свои предложения (замечания) в 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Брюховецкий</w:t>
      </w:r>
      <w:r w:rsidRPr="00DB74DA">
        <w:rPr>
          <w:rFonts w:ascii="Times New Roman" w:hAnsi="Times New Roman" w:cs="Times New Roman"/>
          <w:sz w:val="28"/>
          <w:szCs w:val="28"/>
        </w:rPr>
        <w:t xml:space="preserve"> район по электронному адресу: brukhovezk@mo.krasnodar.ru (с пометкой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4DA"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4DA">
        <w:rPr>
          <w:rFonts w:ascii="Times New Roman" w:hAnsi="Times New Roman" w:cs="Times New Roman"/>
          <w:sz w:val="28"/>
          <w:szCs w:val="28"/>
        </w:rPr>
        <w:t>).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3. Срок проведения общественного обсуждения – с 01.10.202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DB74DA">
        <w:rPr>
          <w:rFonts w:ascii="Times New Roman" w:hAnsi="Times New Roman" w:cs="Times New Roman"/>
          <w:sz w:val="28"/>
          <w:szCs w:val="28"/>
        </w:rPr>
        <w:t xml:space="preserve"> г. по 31.10.202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DB74DA">
        <w:rPr>
          <w:rFonts w:ascii="Times New Roman" w:hAnsi="Times New Roman" w:cs="Times New Roman"/>
          <w:sz w:val="28"/>
          <w:szCs w:val="28"/>
        </w:rPr>
        <w:t xml:space="preserve"> г. (включительно).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4. Порядок проведения общественного обсуждения – замечания и предложения от участников общественного обсуждения направляются в электронном виде по адресу, указанному в пункте 2, и в сроки, установленные пунктом 3 настоящего уведомления.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проектов документов.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5. Определение результатов общественного обсуждения – подготовка организатором общественного обсуждения сводной информации о поступивших предложениях и замечаниях. 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6. Требования к оформлению предложений и замечаний: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>для юридических лиц – оформляются на официальном бланке юридического лица, заверенные подписью руководителя или иного уполномоченного лица;</w:t>
      </w:r>
    </w:p>
    <w:p w:rsidR="00DB74DA" w:rsidRPr="00DB74DA" w:rsidRDefault="00DB74DA" w:rsidP="00DB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для физических лиц – указывается фамилия, имя, отчество, место жительства, телефон. </w:t>
      </w:r>
    </w:p>
    <w:p w:rsidR="002B28F4" w:rsidRDefault="00DB74DA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4DA">
        <w:rPr>
          <w:rFonts w:ascii="Times New Roman" w:hAnsi="Times New Roman" w:cs="Times New Roman"/>
          <w:sz w:val="28"/>
          <w:szCs w:val="28"/>
        </w:rPr>
        <w:t xml:space="preserve">С проектом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4DA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</w:t>
      </w:r>
      <w:r w:rsidR="00A0796C">
        <w:rPr>
          <w:rFonts w:ascii="Times New Roman" w:hAnsi="Times New Roman" w:cs="Times New Roman"/>
          <w:sz w:val="28"/>
          <w:szCs w:val="28"/>
        </w:rPr>
        <w:t>влении муниципального жилищного</w:t>
      </w:r>
      <w:r w:rsidRPr="00DB74DA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Брюховецкий район на 202</w:t>
      </w:r>
      <w:r w:rsidR="007D0889">
        <w:rPr>
          <w:rFonts w:ascii="Times New Roman" w:hAnsi="Times New Roman" w:cs="Times New Roman"/>
          <w:sz w:val="28"/>
          <w:szCs w:val="28"/>
        </w:rPr>
        <w:t>5</w:t>
      </w:r>
      <w:r w:rsidRPr="00DB74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4DA">
        <w:rPr>
          <w:rFonts w:ascii="Times New Roman" w:hAnsi="Times New Roman" w:cs="Times New Roman"/>
          <w:sz w:val="28"/>
          <w:szCs w:val="28"/>
        </w:rPr>
        <w:t xml:space="preserve"> можно ознакомиться здесь: </w:t>
      </w:r>
    </w:p>
    <w:p w:rsidR="00B74C0A" w:rsidRDefault="00B74C0A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Default="00B74C0A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Default="00B74C0A" w:rsidP="0009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72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"/>
        <w:gridCol w:w="9950"/>
      </w:tblGrid>
      <w:tr w:rsidR="00B74C0A" w:rsidRPr="00B74C0A" w:rsidTr="00776FBC">
        <w:tc>
          <w:tcPr>
            <w:tcW w:w="222" w:type="dxa"/>
            <w:tcBorders>
              <w:right w:val="nil"/>
            </w:tcBorders>
          </w:tcPr>
          <w:p w:rsidR="00B74C0A" w:rsidRPr="00B74C0A" w:rsidRDefault="00B74C0A" w:rsidP="00B7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0A" w:rsidRPr="00B74C0A" w:rsidRDefault="00B74C0A" w:rsidP="00B7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0A" w:rsidRPr="00B74C0A" w:rsidRDefault="00B74C0A" w:rsidP="00B7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B74C0A" w:rsidRPr="00B74C0A" w:rsidRDefault="002F6A9F" w:rsidP="002F6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2F6A9F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B74C0A" w:rsidRPr="00B74C0A" w:rsidTr="00776FBC">
        <w:tc>
          <w:tcPr>
            <w:tcW w:w="222" w:type="dxa"/>
          </w:tcPr>
          <w:p w:rsidR="00B74C0A" w:rsidRPr="00B74C0A" w:rsidRDefault="00B74C0A" w:rsidP="00B7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0" w:type="dxa"/>
            <w:tcBorders>
              <w:top w:val="nil"/>
            </w:tcBorders>
          </w:tcPr>
          <w:p w:rsidR="00B74C0A" w:rsidRPr="00B74C0A" w:rsidRDefault="00B74C0A" w:rsidP="002F6A9F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0A" w:rsidRPr="00B74C0A" w:rsidRDefault="00B74C0A" w:rsidP="00B7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B74C0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0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B74C0A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0A">
        <w:rPr>
          <w:rFonts w:ascii="Times New Roman" w:hAnsi="Times New Roman" w:cs="Times New Roman"/>
          <w:b/>
          <w:sz w:val="28"/>
          <w:szCs w:val="28"/>
        </w:rPr>
        <w:t>охраняемым законом ценностям при осуществлении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0A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 на территории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0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Брюховецкий район </w:t>
      </w:r>
      <w:r w:rsidRPr="00B74C0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D088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74C0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</w:p>
    <w:p w:rsidR="00B74C0A" w:rsidRPr="00B74C0A" w:rsidRDefault="00B74C0A" w:rsidP="00B74C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C0A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Брюховецкий район (далее – Программа профилактики) реализуется администрацией муниципального образования Брюховецкий район в лице отдела по вопросам жизнеобеспечения района управления по архитектуре, строительству и ЖКХ администрации муниципального образования Брюховецкий район (далее – Отдел) и устанавливает порядок проведения профилактических мероприятий, направленных на предупреждение причинения вреда</w:t>
      </w:r>
      <w:proofErr w:type="gramEnd"/>
      <w:r w:rsidRPr="00B74C0A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ценностям, соблюдение которых оценивается в рамках муниципального жилищного контроля на территории муниципального образования Брюховецкий район (далее – муниципальный жилищный контроль).</w:t>
      </w:r>
    </w:p>
    <w:p w:rsidR="00B74C0A" w:rsidRPr="00B74C0A" w:rsidRDefault="00B74C0A" w:rsidP="00B74C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Pr="00B74C0A" w:rsidRDefault="00B74C0A" w:rsidP="00B74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</w:t>
      </w:r>
    </w:p>
    <w:p w:rsidR="00B74C0A" w:rsidRPr="00B74C0A" w:rsidRDefault="00B74C0A" w:rsidP="00B74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 xml:space="preserve"> жилищного контроля, описание текущего уровня развития,</w:t>
      </w:r>
    </w:p>
    <w:p w:rsidR="00B74C0A" w:rsidRPr="00B74C0A" w:rsidRDefault="00B74C0A" w:rsidP="00B74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профилактической деятельности Администрации </w:t>
      </w:r>
      <w:proofErr w:type="gramStart"/>
      <w:r w:rsidRPr="00B74C0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74C0A" w:rsidRPr="00B74C0A" w:rsidRDefault="00B74C0A" w:rsidP="00B74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образования Брюховецкий район,</w:t>
      </w:r>
      <w:r w:rsidRPr="00B74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C0A">
        <w:rPr>
          <w:rFonts w:ascii="Times New Roman" w:hAnsi="Times New Roman" w:cs="Times New Roman"/>
          <w:sz w:val="28"/>
          <w:szCs w:val="28"/>
        </w:rPr>
        <w:t>характеристика проблем,</w:t>
      </w:r>
    </w:p>
    <w:p w:rsidR="00B74C0A" w:rsidRPr="00B74C0A" w:rsidRDefault="00B74C0A" w:rsidP="00B74C0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74C0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B74C0A">
        <w:rPr>
          <w:rFonts w:ascii="Times New Roman" w:hAnsi="Times New Roman" w:cs="Times New Roman"/>
          <w:sz w:val="28"/>
          <w:szCs w:val="28"/>
        </w:rPr>
        <w:t xml:space="preserve"> которых направлена</w:t>
      </w:r>
      <w:r w:rsidRPr="00B74C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C0A">
        <w:rPr>
          <w:rFonts w:ascii="Times New Roman" w:hAnsi="Times New Roman" w:cs="Times New Roman"/>
          <w:sz w:val="28"/>
          <w:szCs w:val="28"/>
        </w:rPr>
        <w:t>Программа</w:t>
      </w:r>
    </w:p>
    <w:p w:rsidR="00B74C0A" w:rsidRPr="00B74C0A" w:rsidRDefault="00B74C0A" w:rsidP="00B74C0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1.1. Объектами при осуществлении муниципального жилищного контроля является: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1) контроль технического состояния и использования муниципального жилищного фонда, выполнения в установленные законодательством сроки работ по содержанию и ремонту жилого помещения;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2) контроль по соблюдению правил пользования муниципальными помещениями нанимателями, проверка использования жилого или нежилого помещения по их целевому назначению;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3) проверка проведения своевременной подготовки помещений к сезонной эксплуатации в соответствии с установленными требованиями; 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lastRenderedPageBreak/>
        <w:t>4) контроль предоставления коммунальных услуг в жилых или нежилых помещениях; контроль по наличию в многоквартирных домах приборов учета энергоресурсов (общедомовых и индивидуальных) на территории муниципального образования Брюховецкий район.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Главной задачей администрации муниципального образования Брюховецкий район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1.2. В 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B74C0A">
        <w:rPr>
          <w:rFonts w:ascii="Times New Roman" w:hAnsi="Times New Roman" w:cs="Times New Roman"/>
          <w:sz w:val="28"/>
          <w:szCs w:val="28"/>
        </w:rPr>
        <w:t xml:space="preserve"> году в рамках муниципального жилищного контроля плановые контрольные мероприятия не проводились.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в указанный период не проводились. </w:t>
      </w:r>
    </w:p>
    <w:p w:rsidR="00B74C0A" w:rsidRPr="00B74C0A" w:rsidRDefault="00B74C0A" w:rsidP="00B74C0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C0A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администрацией муниципального образования Брюховецкий район осуществлялись мероприятия по профилактике таких нарушений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на территории муниципального образования Брюховецкий</w:t>
      </w:r>
      <w:proofErr w:type="gramEnd"/>
      <w:r w:rsidRPr="00B74C0A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B74C0A"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</w:t>
      </w:r>
      <w:r w:rsidR="007D0889">
        <w:rPr>
          <w:rFonts w:ascii="Times New Roman" w:hAnsi="Times New Roman" w:cs="Times New Roman"/>
          <w:sz w:val="28"/>
          <w:szCs w:val="28"/>
        </w:rPr>
        <w:t>разования Брюховецкий район от 14</w:t>
      </w:r>
      <w:r w:rsidRPr="00B74C0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D0889">
        <w:rPr>
          <w:rFonts w:ascii="Times New Roman" w:hAnsi="Times New Roman" w:cs="Times New Roman"/>
          <w:sz w:val="28"/>
          <w:szCs w:val="28"/>
        </w:rPr>
        <w:t>3</w:t>
      </w:r>
      <w:r w:rsidRPr="00B74C0A">
        <w:rPr>
          <w:rFonts w:ascii="Times New Roman" w:hAnsi="Times New Roman" w:cs="Times New Roman"/>
          <w:sz w:val="28"/>
          <w:szCs w:val="28"/>
        </w:rPr>
        <w:t xml:space="preserve"> года № 18</w:t>
      </w:r>
      <w:r w:rsidR="007D0889">
        <w:rPr>
          <w:rFonts w:ascii="Times New Roman" w:hAnsi="Times New Roman" w:cs="Times New Roman"/>
          <w:sz w:val="28"/>
          <w:szCs w:val="28"/>
        </w:rPr>
        <w:t>30</w:t>
      </w:r>
      <w:r w:rsidRPr="00B74C0A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ценностями при осуществлении муниципального жилищного контроля на территории муниципального образования Брюховецкий район на 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B74C0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В рамках развития и осуществления профилактической деятельности на территории муниципального образования Брюховецкий район в 202</w:t>
      </w:r>
      <w:r w:rsidR="007D0889">
        <w:rPr>
          <w:rFonts w:ascii="Times New Roman" w:hAnsi="Times New Roman" w:cs="Times New Roman"/>
          <w:sz w:val="28"/>
          <w:szCs w:val="28"/>
        </w:rPr>
        <w:t>4</w:t>
      </w:r>
      <w:r w:rsidRPr="00B74C0A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C0A"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размещались на официальном сайте Администрации в информационно-телекоммуникационной сети «Интернет» (далее - официальный сайт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  <w:proofErr w:type="gramEnd"/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актуальном состоянии и размеща</w:t>
      </w:r>
      <w:r w:rsidRPr="00B74C0A">
        <w:rPr>
          <w:rFonts w:ascii="Times New Roman" w:eastAsia="Calibri" w:hAnsi="Times New Roman" w:cs="Times New Roman"/>
          <w:sz w:val="28"/>
          <w:szCs w:val="28"/>
        </w:rPr>
        <w:t>лись</w:t>
      </w: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Администрации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 w:rsidRPr="00B74C0A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</w:t>
      </w:r>
      <w:r w:rsidRPr="00B74C0A">
        <w:rPr>
          <w:rFonts w:ascii="Times New Roman" w:eastAsia="Calibri" w:hAnsi="Times New Roman" w:cs="Times New Roman"/>
          <w:sz w:val="28"/>
          <w:szCs w:val="28"/>
        </w:rPr>
        <w:t>ого</w:t>
      </w:r>
      <w:r w:rsidRPr="00B74C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жилищного контрол</w:t>
      </w:r>
      <w:r w:rsidRPr="00B74C0A">
        <w:rPr>
          <w:rFonts w:ascii="Times New Roman" w:eastAsia="Calibri" w:hAnsi="Times New Roman" w:cs="Times New Roman"/>
          <w:sz w:val="28"/>
          <w:szCs w:val="28"/>
        </w:rPr>
        <w:t>я;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Calibri" w:hAnsi="Times New Roman" w:cs="Times New Roman"/>
          <w:sz w:val="28"/>
          <w:szCs w:val="28"/>
        </w:rPr>
        <w:lastRenderedPageBreak/>
        <w:t>поддерживались</w:t>
      </w: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актуальном состоянии размещенные на официальном сайте Администрации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актуализировалось руководство по соблюдению обязательных требований, требований, установленных муниципальными правовыми актами, размещенное на официальном сайте Администрации;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обобщалась и анализировалась правоприменительная практика контрольной деятельности в рамках осуществления муниципального жилищного контроля,  и обзор правоприменительной практики размещался на официальном сайте Администрации;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eastAsia="Times New Roman" w:cs="Calibri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B74C0A" w:rsidRPr="00B74C0A" w:rsidRDefault="00B74C0A" w:rsidP="00B74C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1.3. При </w:t>
      </w:r>
      <w:r w:rsidRPr="00B74C0A">
        <w:rPr>
          <w:rFonts w:ascii="Times New Roman" w:eastAsia="Calibri" w:hAnsi="Times New Roman" w:cs="Times New Roman"/>
          <w:sz w:val="28"/>
          <w:szCs w:val="28"/>
        </w:rPr>
        <w:t>осуществлении муниципального жилищного контроля в           202</w:t>
      </w:r>
      <w:r w:rsidR="007D0889">
        <w:rPr>
          <w:rFonts w:ascii="Times New Roman" w:eastAsia="Calibri" w:hAnsi="Times New Roman" w:cs="Times New Roman"/>
          <w:sz w:val="28"/>
          <w:szCs w:val="28"/>
        </w:rPr>
        <w:t>5</w:t>
      </w:r>
      <w:r w:rsidRPr="00B74C0A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B74C0A"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B74C0A" w:rsidRPr="00B74C0A" w:rsidRDefault="00B74C0A" w:rsidP="00B74C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C0A">
        <w:rPr>
          <w:rFonts w:ascii="Times New Roman" w:hAnsi="Times New Roman"/>
          <w:sz w:val="28"/>
          <w:szCs w:val="28"/>
        </w:rPr>
        <w:t>1) несоблюдение требований к использованию жилых помещений муниципального жилищного фонда в соответствии с их назначением, установленным Жилищным кодексом Российской Федерации, с учетом соблюдения прав и законных интересов проживающих в жилом помещении граждан, соседей;</w:t>
      </w:r>
    </w:p>
    <w:p w:rsidR="00B74C0A" w:rsidRPr="00B74C0A" w:rsidRDefault="00B74C0A" w:rsidP="00B74C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C0A">
        <w:rPr>
          <w:rFonts w:ascii="Times New Roman" w:hAnsi="Times New Roman"/>
          <w:sz w:val="28"/>
          <w:szCs w:val="28"/>
        </w:rPr>
        <w:t>2)</w:t>
      </w:r>
      <w:r w:rsidRPr="00B74C0A">
        <w:rPr>
          <w:rFonts w:ascii="Times New Roman" w:hAnsi="Times New Roman"/>
          <w:sz w:val="28"/>
          <w:szCs w:val="28"/>
          <w:lang w:val="en-US"/>
        </w:rPr>
        <w:t> </w:t>
      </w:r>
      <w:r w:rsidRPr="00B74C0A">
        <w:rPr>
          <w:rFonts w:ascii="Times New Roman" w:hAnsi="Times New Roman"/>
          <w:sz w:val="28"/>
          <w:szCs w:val="28"/>
        </w:rPr>
        <w:t>несоблюдение требований к сохранности жилых помещений муниципального жилищного фонда;</w:t>
      </w:r>
    </w:p>
    <w:p w:rsidR="00B74C0A" w:rsidRPr="00B74C0A" w:rsidRDefault="00B74C0A" w:rsidP="00B74C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C0A">
        <w:rPr>
          <w:rFonts w:ascii="Times New Roman" w:hAnsi="Times New Roman"/>
          <w:sz w:val="28"/>
          <w:szCs w:val="28"/>
        </w:rPr>
        <w:t>3) несоблюдение требований к обеспечению надлежащего состояния жилых помещений муниципального жилищного фонда.</w:t>
      </w:r>
    </w:p>
    <w:p w:rsidR="00B74C0A" w:rsidRPr="00B74C0A" w:rsidRDefault="00B74C0A" w:rsidP="00B74C0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B74C0A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 профилактики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B74C0A" w:rsidRPr="00B74C0A" w:rsidRDefault="00B74C0A" w:rsidP="00B74C0A">
      <w:pPr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4C0A" w:rsidRPr="00B74C0A" w:rsidRDefault="00B74C0A" w:rsidP="00B74C0A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4C0A" w:rsidRPr="00B74C0A" w:rsidRDefault="00B74C0A" w:rsidP="00B74C0A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74C0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74C0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iCs/>
          <w:sz w:val="28"/>
          <w:szCs w:val="28"/>
        </w:rPr>
        <w:lastRenderedPageBreak/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74C0A" w:rsidRPr="00B74C0A" w:rsidRDefault="00B74C0A" w:rsidP="00B74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(периодичность) их проведения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 xml:space="preserve">3.1. В соответствии с Положением о муниципальном жилищном контроле на территории муниципального образования Брюховецкий район проводятся следующие профилактические мероприятия: 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2) консультирование;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3) объявление предостережения;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4) профилактический визит.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553"/>
        <w:gridCol w:w="2835"/>
        <w:gridCol w:w="3543"/>
      </w:tblGrid>
      <w:tr w:rsidR="00B74C0A" w:rsidRPr="00B74C0A" w:rsidTr="00776FBC">
        <w:trPr>
          <w:trHeight w:val="8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Отдел Администрации, ответственный за реализацию</w:t>
            </w:r>
          </w:p>
        </w:tc>
      </w:tr>
      <w:tr w:rsidR="00B74C0A" w:rsidRPr="00B74C0A" w:rsidTr="00776FBC">
        <w:trPr>
          <w:trHeight w:val="44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              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4</w:t>
            </w:r>
          </w:p>
        </w:tc>
      </w:tr>
      <w:tr w:rsidR="00B74C0A" w:rsidRPr="00B74C0A" w:rsidTr="00776FBC">
        <w:trPr>
          <w:trHeight w:val="2416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1 1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Информирование</w:t>
            </w:r>
          </w:p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Отдел по вопросам жизнеобеспечения района управления по архитектуре, строительству и ЖКХ администрации муниципального образования Брюховецкий район</w:t>
            </w:r>
          </w:p>
        </w:tc>
      </w:tr>
      <w:tr w:rsidR="00B74C0A" w:rsidRPr="00B74C0A" w:rsidTr="00776FBC">
        <w:trPr>
          <w:trHeight w:val="1120"/>
        </w:trPr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по вопросам жизнеобеспечения района управления по архитектуре, </w:t>
            </w:r>
          </w:p>
        </w:tc>
      </w:tr>
      <w:tr w:rsidR="00B74C0A" w:rsidRPr="00B74C0A" w:rsidTr="00776FBC">
        <w:trPr>
          <w:trHeight w:val="570"/>
        </w:trPr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74C0A" w:rsidRPr="00B74C0A" w:rsidTr="00776FBC">
        <w:trPr>
          <w:trHeight w:val="8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строительству и ЖКХ администрации муниципального образования Брюховецкий район</w:t>
            </w:r>
          </w:p>
        </w:tc>
      </w:tr>
      <w:tr w:rsidR="00B74C0A" w:rsidRPr="00B74C0A" w:rsidTr="00776FBC">
        <w:trPr>
          <w:trHeight w:val="392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3 3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Объявление предостережений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Постоянно при наличии оснований, </w:t>
            </w:r>
          </w:p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proofErr w:type="gramStart"/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предусмотренных</w:t>
            </w:r>
            <w:proofErr w:type="gramEnd"/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   ст. 49 Федерального закона от 31.07.2020 № 248-ФЗ          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по вопросам жизнеобеспечения района </w:t>
            </w:r>
          </w:p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управления по архитектуре, строительству и ЖКХ администрации муниципального образования Брюховецкий район</w:t>
            </w:r>
          </w:p>
        </w:tc>
      </w:tr>
      <w:tr w:rsidR="00B74C0A" w:rsidRPr="00B74C0A" w:rsidTr="00776FBC">
        <w:trPr>
          <w:trHeight w:val="2088"/>
        </w:trPr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5 4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B74C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Профилактический визит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один раз в год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iCs/>
                <w:sz w:val="28"/>
                <w:szCs w:val="28"/>
              </w:rPr>
              <w:t>Отдел по вопросам жизнеобеспечения района управления по архитектуре, строительству и ЖКХ администрации муниципального образования Брюховецкий район</w:t>
            </w:r>
          </w:p>
        </w:tc>
      </w:tr>
    </w:tbl>
    <w:p w:rsidR="00B74C0A" w:rsidRPr="00B74C0A" w:rsidRDefault="00B74C0A" w:rsidP="00B74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жилищный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B74C0A" w:rsidRPr="00B74C0A" w:rsidRDefault="00B74C0A" w:rsidP="00B74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C0A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компетенция контрольного органа;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организация и осуществление муниципального жилищного контроля;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4) применением мер ответственности, за нарушение требований являющихся предметом муниципального жилищного контроля.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жилищный </w:t>
      </w: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контроль, в следующих случаях: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B74C0A" w:rsidRPr="00B74C0A" w:rsidRDefault="00B74C0A" w:rsidP="00B74C0A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74C0A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</w:t>
      </w:r>
    </w:p>
    <w:p w:rsidR="00B74C0A" w:rsidRPr="00B74C0A" w:rsidRDefault="00B74C0A" w:rsidP="00B74C0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Программы профилактики</w:t>
      </w: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4C0A">
        <w:rPr>
          <w:rFonts w:ascii="Times New Roman" w:hAnsi="Times New Roman" w:cs="Times New Roman"/>
          <w:bCs/>
          <w:sz w:val="28"/>
          <w:szCs w:val="28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74C0A" w:rsidRPr="00B74C0A" w:rsidRDefault="00B74C0A" w:rsidP="00B74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B74C0A" w:rsidRPr="00B74C0A" w:rsidTr="00776FBC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C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4C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74C0A" w:rsidRPr="00B74C0A" w:rsidTr="00776FBC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B74C0A" w:rsidRPr="00B74C0A" w:rsidTr="00776FBC">
        <w:trPr>
          <w:trHeight w:val="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C0A" w:rsidRPr="00B74C0A" w:rsidRDefault="00B74C0A" w:rsidP="00B74C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2021 г.    № 248-ФЗ </w:t>
            </w: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0A" w:rsidRPr="00B74C0A" w:rsidRDefault="00B74C0A" w:rsidP="00B74C0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hAnsi="Times New Roman" w:cs="Times New Roman"/>
                <w:sz w:val="28"/>
                <w:szCs w:val="28"/>
              </w:rPr>
              <w:t xml:space="preserve"> 100 %</w:t>
            </w:r>
          </w:p>
        </w:tc>
      </w:tr>
      <w:tr w:rsidR="00B74C0A" w:rsidRPr="00B74C0A" w:rsidTr="00776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/>
        </w:trPr>
        <w:tc>
          <w:tcPr>
            <w:tcW w:w="709" w:type="dxa"/>
            <w:vAlign w:val="center"/>
          </w:tcPr>
          <w:p w:rsidR="00B74C0A" w:rsidRPr="00B74C0A" w:rsidRDefault="00B74C0A" w:rsidP="00B74C0A">
            <w:pPr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:rsidR="00B74C0A" w:rsidRPr="00B74C0A" w:rsidRDefault="00B74C0A" w:rsidP="00B74C0A">
            <w:pPr>
              <w:spacing w:after="0" w:line="240" w:lineRule="auto"/>
              <w:ind w:left="-2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09" w:type="dxa"/>
          </w:tcPr>
          <w:p w:rsidR="00B74C0A" w:rsidRPr="00B74C0A" w:rsidRDefault="00B74C0A" w:rsidP="00B74C0A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B74C0A" w:rsidRPr="00B74C0A" w:rsidTr="00776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/>
        </w:trPr>
        <w:tc>
          <w:tcPr>
            <w:tcW w:w="709" w:type="dxa"/>
            <w:vAlign w:val="center"/>
          </w:tcPr>
          <w:p w:rsidR="00B74C0A" w:rsidRPr="00B74C0A" w:rsidRDefault="00B74C0A" w:rsidP="00B74C0A">
            <w:pPr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6521" w:type="dxa"/>
          </w:tcPr>
          <w:p w:rsidR="00B74C0A" w:rsidRPr="00B74C0A" w:rsidRDefault="00B74C0A" w:rsidP="00B74C0A">
            <w:pPr>
              <w:spacing w:after="0" w:line="240" w:lineRule="auto"/>
              <w:ind w:left="-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09" w:type="dxa"/>
            <w:vAlign w:val="center"/>
          </w:tcPr>
          <w:p w:rsidR="00B74C0A" w:rsidRPr="00B74C0A" w:rsidRDefault="00B74C0A" w:rsidP="00B74C0A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C0A">
              <w:rPr>
                <w:rFonts w:ascii="Times New Roman" w:eastAsia="Calibri" w:hAnsi="Times New Roman" w:cs="Times New Roman"/>
                <w:sz w:val="28"/>
                <w:szCs w:val="28"/>
              </w:rPr>
              <w:t>5 %</w:t>
            </w:r>
          </w:p>
        </w:tc>
      </w:tr>
    </w:tbl>
    <w:p w:rsidR="00B74C0A" w:rsidRPr="00B74C0A" w:rsidRDefault="00B74C0A" w:rsidP="00B74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C0A" w:rsidRPr="00B74C0A" w:rsidRDefault="00B74C0A" w:rsidP="00B74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C0A" w:rsidRDefault="00B74C0A" w:rsidP="00B74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74C0A" w:rsidSect="007B32A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78" w:rsidRDefault="00E07B78" w:rsidP="007B32A1">
      <w:pPr>
        <w:spacing w:after="0" w:line="240" w:lineRule="auto"/>
      </w:pPr>
      <w:r>
        <w:separator/>
      </w:r>
    </w:p>
  </w:endnote>
  <w:endnote w:type="continuationSeparator" w:id="0">
    <w:p w:rsidR="00E07B78" w:rsidRDefault="00E07B78" w:rsidP="007B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78" w:rsidRDefault="00E07B78" w:rsidP="007B32A1">
      <w:pPr>
        <w:spacing w:after="0" w:line="240" w:lineRule="auto"/>
      </w:pPr>
      <w:r>
        <w:separator/>
      </w:r>
    </w:p>
  </w:footnote>
  <w:footnote w:type="continuationSeparator" w:id="0">
    <w:p w:rsidR="00E07B78" w:rsidRDefault="00E07B78" w:rsidP="007B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1317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32A1" w:rsidRPr="007B32A1" w:rsidRDefault="007B32A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32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32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32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58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B32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32A1" w:rsidRDefault="007B3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63" w:rsidRDefault="00E07B78">
    <w:pPr>
      <w:pStyle w:val="a5"/>
      <w:jc w:val="center"/>
    </w:pPr>
  </w:p>
  <w:p w:rsidR="00595863" w:rsidRDefault="00E07B78" w:rsidP="0064575E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926783"/>
    <w:multiLevelType w:val="hybridMultilevel"/>
    <w:tmpl w:val="8A160484"/>
    <w:lvl w:ilvl="0" w:tplc="D3D2D7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F4"/>
    <w:rsid w:val="00067209"/>
    <w:rsid w:val="00095687"/>
    <w:rsid w:val="000A3D4F"/>
    <w:rsid w:val="001002A3"/>
    <w:rsid w:val="00107C3F"/>
    <w:rsid w:val="00115690"/>
    <w:rsid w:val="0016584B"/>
    <w:rsid w:val="001772EB"/>
    <w:rsid w:val="00177AAE"/>
    <w:rsid w:val="002B28F4"/>
    <w:rsid w:val="002F6A9F"/>
    <w:rsid w:val="003B0DCE"/>
    <w:rsid w:val="003C159B"/>
    <w:rsid w:val="003F5ED4"/>
    <w:rsid w:val="004325C3"/>
    <w:rsid w:val="00497F21"/>
    <w:rsid w:val="004A6CCA"/>
    <w:rsid w:val="004B4769"/>
    <w:rsid w:val="00574449"/>
    <w:rsid w:val="005B2AAE"/>
    <w:rsid w:val="005C5F13"/>
    <w:rsid w:val="005D00DD"/>
    <w:rsid w:val="00612CCF"/>
    <w:rsid w:val="0061364E"/>
    <w:rsid w:val="0063663A"/>
    <w:rsid w:val="006A682A"/>
    <w:rsid w:val="007355FD"/>
    <w:rsid w:val="007B32A1"/>
    <w:rsid w:val="007D0889"/>
    <w:rsid w:val="007D6F04"/>
    <w:rsid w:val="007F27E0"/>
    <w:rsid w:val="008225CB"/>
    <w:rsid w:val="008C12CE"/>
    <w:rsid w:val="009D2C88"/>
    <w:rsid w:val="009D3429"/>
    <w:rsid w:val="009E012F"/>
    <w:rsid w:val="00A0796C"/>
    <w:rsid w:val="00A5069E"/>
    <w:rsid w:val="00AC0F27"/>
    <w:rsid w:val="00B258A3"/>
    <w:rsid w:val="00B4001B"/>
    <w:rsid w:val="00B61DCF"/>
    <w:rsid w:val="00B70717"/>
    <w:rsid w:val="00B74C0A"/>
    <w:rsid w:val="00BD6B5A"/>
    <w:rsid w:val="00C13082"/>
    <w:rsid w:val="00C2671E"/>
    <w:rsid w:val="00C525CB"/>
    <w:rsid w:val="00C8791D"/>
    <w:rsid w:val="00D2076A"/>
    <w:rsid w:val="00D42A7E"/>
    <w:rsid w:val="00DB35AA"/>
    <w:rsid w:val="00DB74DA"/>
    <w:rsid w:val="00DC10D7"/>
    <w:rsid w:val="00E07B78"/>
    <w:rsid w:val="00E96EB0"/>
    <w:rsid w:val="00ED145B"/>
    <w:rsid w:val="00F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687"/>
    <w:pPr>
      <w:ind w:left="720"/>
      <w:contextualSpacing/>
    </w:pPr>
  </w:style>
  <w:style w:type="paragraph" w:customStyle="1" w:styleId="ConsPlusNormal">
    <w:name w:val="ConsPlusNormal"/>
    <w:qFormat/>
    <w:rsid w:val="005C5F13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C5F13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C5F1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74C0A"/>
    <w:pPr>
      <w:suppressAutoHyphens/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4C0A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B74C0A"/>
  </w:style>
  <w:style w:type="paragraph" w:styleId="a7">
    <w:name w:val="Balloon Text"/>
    <w:basedOn w:val="a"/>
    <w:link w:val="a8"/>
    <w:uiPriority w:val="99"/>
    <w:semiHidden/>
    <w:unhideWhenUsed/>
    <w:rsid w:val="00B7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0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B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5687"/>
    <w:pPr>
      <w:ind w:left="720"/>
      <w:contextualSpacing/>
    </w:pPr>
  </w:style>
  <w:style w:type="paragraph" w:customStyle="1" w:styleId="ConsPlusNormal">
    <w:name w:val="ConsPlusNormal"/>
    <w:qFormat/>
    <w:rsid w:val="005C5F13"/>
    <w:pPr>
      <w:widowControl w:val="0"/>
      <w:suppressAutoHyphens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5C5F13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C5F1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74C0A"/>
    <w:pPr>
      <w:suppressAutoHyphens/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4C0A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basedOn w:val="a0"/>
    <w:link w:val="a5"/>
    <w:uiPriority w:val="99"/>
    <w:rsid w:val="00B74C0A"/>
  </w:style>
  <w:style w:type="paragraph" w:styleId="a7">
    <w:name w:val="Balloon Text"/>
    <w:basedOn w:val="a"/>
    <w:link w:val="a8"/>
    <w:uiPriority w:val="99"/>
    <w:semiHidden/>
    <w:unhideWhenUsed/>
    <w:rsid w:val="00B7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C0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B3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BFE9-EDA9-46B7-9A67-6839FF46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Н. Бартышева</dc:creator>
  <cp:lastModifiedBy>Светлана С. Деркач</cp:lastModifiedBy>
  <cp:revision>2</cp:revision>
  <cp:lastPrinted>2021-10-01T05:46:00Z</cp:lastPrinted>
  <dcterms:created xsi:type="dcterms:W3CDTF">2024-12-02T13:18:00Z</dcterms:created>
  <dcterms:modified xsi:type="dcterms:W3CDTF">2024-12-02T13:18:00Z</dcterms:modified>
</cp:coreProperties>
</file>