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5590D716"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обязательств</w:t>
      </w:r>
      <w:r w:rsidR="00BC7ADA">
        <w:rPr>
          <w:color w:val="000000"/>
          <w:sz w:val="28"/>
          <w:szCs w:val="28"/>
        </w:rPr>
        <w:br/>
      </w:r>
      <w:proofErr w:type="gramStart"/>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BC7ADA">
        <w:rPr>
          <w:color w:val="000000"/>
          <w:sz w:val="28"/>
          <w:szCs w:val="28"/>
          <w:u w:val="single"/>
        </w:rPr>
        <w:br/>
      </w:r>
      <w:bookmarkStart w:id="0" w:name="_GoBack"/>
      <w:bookmarkEnd w:id="0"/>
      <w:r w:rsidR="00725A2E" w:rsidRPr="00314C02">
        <w:rPr>
          <w:color w:val="000000"/>
          <w:sz w:val="28"/>
          <w:szCs w:val="28"/>
          <w:u w:val="single"/>
        </w:rPr>
        <w:t>на</w:t>
      </w:r>
      <w:r w:rsidR="00BC7ADA">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314C02">
        <w:rPr>
          <w:sz w:val="28"/>
          <w:szCs w:val="28"/>
          <w:u w:val="single"/>
        </w:rPr>
        <w:t>на</w:t>
      </w:r>
      <w:r w:rsidR="00006ED7">
        <w:rPr>
          <w:sz w:val="28"/>
          <w:szCs w:val="28"/>
          <w:u w:val="single"/>
        </w:rPr>
        <w:t xml:space="preserve"> приобретение систем капельного орошения для ведения</w:t>
      </w:r>
      <w:proofErr w:type="gramEnd"/>
      <w:r w:rsidR="00006ED7">
        <w:rPr>
          <w:sz w:val="28"/>
          <w:szCs w:val="28"/>
          <w:u w:val="single"/>
        </w:rPr>
        <w:t xml:space="preserve"> овощеводства</w:t>
      </w:r>
      <w:r w:rsidR="00006ED7" w:rsidRPr="00006ED7">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01D87897" w:rsidR="0061180E" w:rsidRPr="00314C02" w:rsidRDefault="0061180E" w:rsidP="0061180E">
      <w:pPr>
        <w:jc w:val="both"/>
        <w:rPr>
          <w:color w:val="000000"/>
          <w:sz w:val="28"/>
          <w:szCs w:val="28"/>
        </w:rPr>
      </w:pPr>
      <w:r w:rsidRPr="00314C02">
        <w:rPr>
          <w:color w:val="000000"/>
          <w:sz w:val="28"/>
          <w:szCs w:val="28"/>
        </w:rPr>
        <w:t>«____»_____________20</w:t>
      </w:r>
      <w:r w:rsidR="00B86DA0">
        <w:rPr>
          <w:color w:val="000000"/>
          <w:sz w:val="28"/>
          <w:szCs w:val="28"/>
        </w:rPr>
        <w:t>26</w:t>
      </w:r>
      <w:r w:rsidRPr="00314C02">
        <w:rPr>
          <w:color w:val="000000"/>
          <w:sz w:val="28"/>
          <w:szCs w:val="28"/>
        </w:rPr>
        <w:t xml:space="preserve"> г. _________________        ____________________ </w:t>
      </w:r>
    </w:p>
    <w:p w14:paraId="69135684" w14:textId="6896D720"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BC7ADA">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21099" w14:textId="77777777" w:rsidR="00D7584F" w:rsidRDefault="00D7584F" w:rsidP="00752C2C">
      <w:r>
        <w:separator/>
      </w:r>
    </w:p>
  </w:endnote>
  <w:endnote w:type="continuationSeparator" w:id="0">
    <w:p w14:paraId="24194DC6" w14:textId="77777777" w:rsidR="00D7584F" w:rsidRDefault="00D7584F"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AFBFC" w14:textId="77777777" w:rsidR="00D7584F" w:rsidRDefault="00D7584F" w:rsidP="00752C2C">
      <w:r>
        <w:separator/>
      </w:r>
    </w:p>
  </w:footnote>
  <w:footnote w:type="continuationSeparator" w:id="0">
    <w:p w14:paraId="0DF9ABAD" w14:textId="77777777" w:rsidR="00D7584F" w:rsidRDefault="00D7584F"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48108"/>
      <w:docPartObj>
        <w:docPartGallery w:val="Page Numbers (Top of Page)"/>
        <w:docPartUnique/>
      </w:docPartObj>
    </w:sdtPr>
    <w:sdtEndPr>
      <w:rPr>
        <w:sz w:val="24"/>
      </w:rPr>
    </w:sdtEndPr>
    <w:sdtContent>
      <w:p w14:paraId="67F6C5D5" w14:textId="6B0D70E9" w:rsidR="00B86DA0" w:rsidRPr="00B86DA0" w:rsidRDefault="00B86DA0">
        <w:pPr>
          <w:pStyle w:val="a8"/>
          <w:jc w:val="center"/>
          <w:rPr>
            <w:sz w:val="24"/>
          </w:rPr>
        </w:pPr>
        <w:r w:rsidRPr="00B86DA0">
          <w:rPr>
            <w:sz w:val="24"/>
          </w:rPr>
          <w:fldChar w:fldCharType="begin"/>
        </w:r>
        <w:r w:rsidRPr="00B86DA0">
          <w:rPr>
            <w:sz w:val="24"/>
          </w:rPr>
          <w:instrText>PAGE   \* MERGEFORMAT</w:instrText>
        </w:r>
        <w:r w:rsidRPr="00B86DA0">
          <w:rPr>
            <w:sz w:val="24"/>
          </w:rPr>
          <w:fldChar w:fldCharType="separate"/>
        </w:r>
        <w:r w:rsidR="00BC7ADA">
          <w:rPr>
            <w:noProof/>
            <w:sz w:val="24"/>
          </w:rPr>
          <w:t>2</w:t>
        </w:r>
        <w:r w:rsidRPr="00B86DA0">
          <w:rPr>
            <w:sz w:val="24"/>
          </w:rPr>
          <w:fldChar w:fldCharType="end"/>
        </w:r>
      </w:p>
    </w:sdtContent>
  </w:sdt>
  <w:p w14:paraId="6CCCC130" w14:textId="77777777" w:rsidR="00B86DA0" w:rsidRPr="00B86DA0" w:rsidRDefault="00B86DA0">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ED7"/>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3A9A"/>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86DA0"/>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C7ADA"/>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584F"/>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C861-39F6-44D2-8B5B-80EBDFF6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5</cp:revision>
  <cp:lastPrinted>2025-04-23T09:14:00Z</cp:lastPrinted>
  <dcterms:created xsi:type="dcterms:W3CDTF">2026-05-14T09:56:00Z</dcterms:created>
  <dcterms:modified xsi:type="dcterms:W3CDTF">2026-05-20T05:00:00Z</dcterms:modified>
</cp:coreProperties>
</file>