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F05B0C" w:rsidP="00C17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sz w:val="28"/>
          <w:szCs w:val="28"/>
        </w:rPr>
        <w:t>Сведения о 16 тыс</w:t>
      </w:r>
      <w:r>
        <w:rPr>
          <w:rFonts w:ascii="Times New Roman" w:eastAsia="Calibri" w:hAnsi="Times New Roman" w:cs="Times New Roman"/>
          <w:b/>
          <w:sz w:val="28"/>
          <w:szCs w:val="28"/>
        </w:rPr>
        <w:t>. памятников истории и культуры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/>
          <w:sz w:val="28"/>
          <w:szCs w:val="28"/>
        </w:rPr>
        <w:t>включены в ЕГРН в 2022 году</w:t>
      </w:r>
    </w:p>
    <w:p w:rsidR="0077466C" w:rsidRPr="0077466C" w:rsidRDefault="0077466C" w:rsidP="00C1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За десять месяцев 2022 года Единый государственный реестр недвижимости (ЕГРН) дополнили сведения о 16 тыс. объектов, представляющих историческую ценность.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Росреестр продолжает работу по внесению в ЕГРН сведений о памятниках истории и архитектуры. С января по ноябрь реестр недвижимости пополнен </w:t>
      </w:r>
      <w:r w:rsidR="007478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данными о более 5 тыс. объектов 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культурного наследия, также в него внесены сведения о 3,1 тыс. зон охраны и 7,9 тыс. территорий охраны объектов культурного наследия. Внесение этих сведений помогает предотвратить ошибки при планировании развития территорий, разработке планов застройки и пред</w:t>
      </w:r>
      <w:r w:rsidR="007478D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оставлении земельных участков»,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– отметила </w:t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Росреестра Татьяна Громова.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По состоянию на 1 ноября этого год</w:t>
      </w:r>
      <w:r w:rsidR="00011FDB">
        <w:rPr>
          <w:rFonts w:ascii="Times New Roman" w:eastAsia="Calibri" w:hAnsi="Times New Roman" w:cs="Times New Roman"/>
          <w:bCs/>
          <w:sz w:val="28"/>
          <w:szCs w:val="28"/>
        </w:rPr>
        <w:t>а ЕГРН содержит сведения о 89,8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тыс. объектов куль</w:t>
      </w:r>
      <w:r w:rsidR="00011FDB">
        <w:rPr>
          <w:rFonts w:ascii="Times New Roman" w:eastAsia="Calibri" w:hAnsi="Times New Roman" w:cs="Times New Roman"/>
          <w:bCs/>
          <w:sz w:val="28"/>
          <w:szCs w:val="28"/>
        </w:rPr>
        <w:t xml:space="preserve">турного наследия, 17,4 тыс. зон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охраны объектов культурного наследия и 62,4 тыс. территорий объектов культурного наследия.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Что относится к объектам культурного наследия (ОКН)?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Памятники истории и культуры, недвижимое имущество, включая объекты археологического наследия, а также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техники, возникшие в результате исторических событий, и представляющие собой ценность с точки зрения истории, археологии, архитектуры, искусства, градостроительства.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На какие виды и категори</w:t>
      </w:r>
      <w:r w:rsidR="007478DF">
        <w:rPr>
          <w:rFonts w:ascii="Times New Roman" w:eastAsia="Calibri" w:hAnsi="Times New Roman" w:cs="Times New Roman"/>
          <w:b/>
          <w:bCs/>
          <w:sz w:val="28"/>
          <w:szCs w:val="28"/>
        </w:rPr>
        <w:t>и историко-культурного значения</w:t>
      </w:r>
      <w:r w:rsidR="007478DF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разделяются ОКН?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 границах территории достопримечательного места могут находиться как памятники, так и ансамбли.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Памятники – отдельные постройки, здания и сооружения с исторически сложившимися территориями, мемориальные квартиры, мавзолеи, отдельные захоронения.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Ансамбли – четко локализуемые на исторически сложившихся территориях группы изолированных или объединенных памятников, строений и сооружений.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Достопримечательные места – творения, созданные человеком, или совместные творения человека и природы, в том числе места традиционного бытования народных художественных промыслов. Центры исторических поселений или фрагменты градостроительной планировки и застройки, памятные места, культурные и природные ландшафты, связанные с историей формирования народов, историческими событиями и жизнью выдающихся исторических личностей также относятся к достопримечательным местам, как и объекты археологического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наследия, религиозно-исторические места, места захоронений жертв массовых репрессий.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Кроме того, ОКН делятся на различные категории историко-культурного значения: федерального, регионального и местного (муниципального).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Как узнать, считается ли объект культурным наследием?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информацию о внесенных в ЕГРН сведениях о местоположении границ зоны охраны, защитной зоны объекта культурного наследия, территории объекта культурного наследия и о расположении земельного участка в границах таких зон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территорий возможно с помощью </w:t>
      </w:r>
      <w:hyperlink r:id="rId8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«Публичной кадастровой карты»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Росреестра.</w:t>
      </w:r>
    </w:p>
    <w:p w:rsidR="00F05B0C" w:rsidRPr="00F05B0C" w:rsidRDefault="006B0962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статусе </w:t>
      </w:r>
      <w:r w:rsidR="00F05B0C" w:rsidRPr="00F05B0C">
        <w:rPr>
          <w:rFonts w:ascii="Times New Roman" w:eastAsia="Calibri" w:hAnsi="Times New Roman" w:cs="Times New Roman"/>
          <w:bCs/>
          <w:sz w:val="28"/>
          <w:szCs w:val="28"/>
        </w:rPr>
        <w:t>недвижимости расскажет выписка из Единого государственного реестра недвижимости (ЕГРН). Запрос можно оформить: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электронном виде на сайте </w:t>
      </w:r>
      <w:hyperlink r:id="rId9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 личном обращении в офисы МФЦ;</w:t>
      </w:r>
    </w:p>
    <w:p w:rsidR="00F05B0C" w:rsidRPr="00F05B0C" w:rsidRDefault="00F05B0C" w:rsidP="00F05B0C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услуги </w:t>
      </w:r>
      <w:hyperlink r:id="rId10" w:history="1">
        <w:r w:rsidR="009F09C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 полным перечнем объектов культурного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наследия можно ознакомиться на </w:t>
      </w:r>
      <w:hyperlink r:id="rId11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Портале открытых данных</w:t>
        </w:r>
      </w:hyperlink>
      <w:r w:rsidR="006B09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Министерства культуры Российской Федерации.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Какие есть ограничения в использовании объекта культурного наследия?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Например, на территории памятника или ансамбля запрещается капитальное строительство и увеличение объемно-пространственных характеристик существующих объектов. Также запрещено проведение земляных, строительных, мелиоративных и иных работ, за исключением мероприятий, направленных на сохранение объекта культурного наследия или отдельных элементов, а также его историко-градостроительной или природной среды.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 этом разрешается ограниченное строительство, капитальный ремонт и реконструкция объектов капитального строительства при условии сохранения особенностей достопримечательного места, являющегося основанием для 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Ведение хозяйственной деятельности на территории памятника, ансамбля или достопримечательного места разрешается, если она не противоречит требованиям обеспечения сохранности ОКН и позволяет ему функционировать в современных условиях.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 полным перечнем ограничений можно ознакомиться в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2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статье 47.3 Федерального закона от 25.06.2002 № 73-ФЗ «Об объектах культурного наследия (памятниках истории и культуры) народов Российской Федерации»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 xml:space="preserve">Органами государственной власти могут быть установлены индивидуальные требования к осуществлению деятельности в границах территории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достопримечательного места, а также требования к градостроительному регламенту в границах его территории.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Обращаем внимание!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вносятся в ЕГРН (</w:t>
      </w:r>
      <w:hyperlink r:id="rId13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 7 ст. 3.1 Закона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). При этом отсутствие в ЕГРН данных сведений не является основанием для несоблюдения требований к осуществлению деятельности в границах территории объекта культурного наследия, установленных земельным законодат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t xml:space="preserve">ельством Российской Федерации и </w:t>
      </w:r>
      <w:hyperlink r:id="rId14" w:anchor=":~:text=%D0%A4%D0%B5%D0%B4%D0%B5%D1%80%D0%B0%D0%BB%D1%8C%D0%BD%D1%8B%D0%B9%20%D0%B7%D0%B0%D0%BA%D0%BE%D0%BD%20%D0%BE%D1%82%2025.06.2002%20N,%D0%BA%D0%BE%D1%82%D0%BE%D1%80%D1%8B%D1%85%20%D1%80%D0%B0%D1%81%D0%BF%D0%BE%D0%BB%D0%B0%D0%B3%D0%B0%D0%B5%D1%82%D1%" w:history="1">
        <w:r w:rsidR="006B096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статьей 5.1</w:t>
        </w:r>
        <w:r w:rsidR="006B096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br/>
        </w:r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Закона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Разрешается ли реконструировать объект культурного наследия для современного использования?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В отношении объекта культурного наследия осуществляются следующие виды работ: сохранение, консервация, ремонт памятника, реставрация памятника или ансамбля, приспособление объекта культурного наследия для современного использования (Ст. 40-44 Федерального закона от 25.06.2002 № 73-ФЗ).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Обращаем внимание!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Законом не предусматривается непосредственное применение понятия «реконструкция объектов капитального строительства» к ОКН.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Приспособление объекта культурного наследия для современного использования 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 w:rsidRPr="00F05B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научно-исследовательские, изыскательские, проектные и производственные работы, проводимые в целях создания условий для современного использования объекта культурного наследия без изменения его особенностей, составляющих предмет охраны, в том числе реставрация представляющих собой историко-культурную ценность элемент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t>ов объекта культурного наследия</w:t>
      </w:r>
      <w:r w:rsidR="006B096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05B0C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15" w:history="1">
        <w:r w:rsidRPr="00F05B0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44 Федерального закона от 25.06.2002 № 73-ФЗ</w:t>
        </w:r>
      </w:hyperlink>
      <w:r w:rsidRPr="00F05B0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Договор на реконструкцию здания может предусматривать реконструкцию объекта культурного наследия с проведением работ по приспособлению здания для современных нужд после разработки проектно-сметной документации, согласования ее в установленном порядке и получения разрешения на строительство. При этом также должны соблюдаться требования законодательства о порядке проведения работ по сохранению объектов культурного наследия.</w:t>
      </w:r>
    </w:p>
    <w:p w:rsidR="00F05B0C" w:rsidRPr="00F05B0C" w:rsidRDefault="00F05B0C" w:rsidP="00F05B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Требуется ли согласование строи</w:t>
      </w:r>
      <w:r w:rsidR="00C179BF">
        <w:rPr>
          <w:rFonts w:ascii="Times New Roman" w:eastAsia="Calibri" w:hAnsi="Times New Roman" w:cs="Times New Roman"/>
          <w:b/>
          <w:bCs/>
          <w:sz w:val="28"/>
          <w:szCs w:val="28"/>
        </w:rPr>
        <w:t>тельных работ в отношении ОКН с </w:t>
      </w:r>
      <w:r w:rsidRPr="00F05B0C">
        <w:rPr>
          <w:rFonts w:ascii="Times New Roman" w:eastAsia="Calibri" w:hAnsi="Times New Roman" w:cs="Times New Roman"/>
          <w:b/>
          <w:bCs/>
          <w:sz w:val="28"/>
          <w:szCs w:val="28"/>
        </w:rPr>
        <w:t>уполномоченным органом власти?</w:t>
      </w:r>
    </w:p>
    <w:p w:rsidR="005E110E" w:rsidRPr="00584D0E" w:rsidRDefault="00F05B0C" w:rsidP="00F05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0C">
        <w:rPr>
          <w:rFonts w:ascii="Times New Roman" w:eastAsia="Calibri" w:hAnsi="Times New Roman" w:cs="Times New Roman"/>
          <w:bCs/>
          <w:sz w:val="28"/>
          <w:szCs w:val="28"/>
        </w:rPr>
        <w:t>Работы по сохранению объекта культурного наследия проводятся на основании письменного разрешения и задания на проведение указанных работ, выданных соответствующим органом охраны объектов культурного наследия, и в соответствии с документацией, согласованной с этим органом.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9F09C7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9F09C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E6748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9F09C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0341FC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FC" w:rsidRDefault="000341FC">
      <w:pPr>
        <w:spacing w:after="0" w:line="240" w:lineRule="auto"/>
      </w:pPr>
      <w:r>
        <w:separator/>
      </w:r>
    </w:p>
  </w:endnote>
  <w:endnote w:type="continuationSeparator" w:id="0">
    <w:p w:rsidR="000341FC" w:rsidRDefault="0003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FC" w:rsidRDefault="000341FC">
      <w:pPr>
        <w:spacing w:after="0" w:line="240" w:lineRule="auto"/>
      </w:pPr>
      <w:r>
        <w:separator/>
      </w:r>
    </w:p>
  </w:footnote>
  <w:footnote w:type="continuationSeparator" w:id="0">
    <w:p w:rsidR="000341FC" w:rsidRDefault="0003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B8D"/>
    <w:multiLevelType w:val="multilevel"/>
    <w:tmpl w:val="4AD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11FDB"/>
    <w:rsid w:val="000341FC"/>
    <w:rsid w:val="000A3BEE"/>
    <w:rsid w:val="000B3C35"/>
    <w:rsid w:val="00105E04"/>
    <w:rsid w:val="0023144D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5F311D"/>
    <w:rsid w:val="006744D8"/>
    <w:rsid w:val="006B0962"/>
    <w:rsid w:val="00743E3C"/>
    <w:rsid w:val="007478DF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9F09C7"/>
    <w:rsid w:val="00A32927"/>
    <w:rsid w:val="00A64E18"/>
    <w:rsid w:val="00AB6803"/>
    <w:rsid w:val="00B17273"/>
    <w:rsid w:val="00BA0773"/>
    <w:rsid w:val="00BB51B9"/>
    <w:rsid w:val="00C179BF"/>
    <w:rsid w:val="00CF6E08"/>
    <w:rsid w:val="00D15C98"/>
    <w:rsid w:val="00D75255"/>
    <w:rsid w:val="00DA227D"/>
    <w:rsid w:val="00DC2396"/>
    <w:rsid w:val="00E00A4E"/>
    <w:rsid w:val="00E6748B"/>
    <w:rsid w:val="00EA5909"/>
    <w:rsid w:val="00EF13F5"/>
    <w:rsid w:val="00F05B0C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CCC9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9F2B3188DAAA631BEA3B36FFD9A9CD93BD747561AA2459B4310F3A15295F4C58C8698D60177A1BADE4CDFAA8215A5994A49DDC5244CCl6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318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.mkrf.ru/opendata/7705851331-egrk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7318/50960d5e93504b0c87f88581c7ca86fde1d551e7/" TargetMode="External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Relationship Id="rId14" Type="http://schemas.openxmlformats.org/officeDocument/2006/relationships/hyperlink" Target="http://www.consultant.ru/document/cons_doc_LAW_37318/3ab00b10b2979596184bcf0cf33794c1308ccb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BD0D-3EFA-49EE-B6EC-F7D93A2D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1255</Words>
  <Characters>7159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40</cp:revision>
  <dcterms:created xsi:type="dcterms:W3CDTF">2022-06-09T12:18:00Z</dcterms:created>
  <dcterms:modified xsi:type="dcterms:W3CDTF">2023-01-12T13:32:00Z</dcterms:modified>
</cp:coreProperties>
</file>