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108"/>
        <w:tblLayout w:type="fixed"/>
      </w:tblPr>
      <w:tblGrid>
        <w:gridCol w:w="4927"/>
        <w:gridCol w:w="4712"/>
      </w:tblGrid>
      <w:tr>
        <w:trPr>
          <w:trHeight w:hRule="atLeast" w:val="765"/>
        </w:trPr>
        <w:tc>
          <w:tcPr>
            <w:tcW w:type="dxa" w:w="9639"/>
            <w:gridSpan w:val="2"/>
          </w:tcPr>
          <w:p w14:paraId="07000000">
            <w:pPr>
              <w:keepNext w:val="1"/>
              <w:tabs>
                <w:tab w:leader="none" w:pos="0" w:val="left"/>
              </w:tabs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639"/>
            <w:gridSpan w:val="2"/>
          </w:tcPr>
          <w:p w14:paraId="08000000">
            <w:pPr>
              <w:keepNext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9000000">
            <w:pPr>
              <w:keepNext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РАСПОРЯЖЕНИЕ</w:t>
            </w:r>
          </w:p>
        </w:tc>
      </w:tr>
      <w:tr>
        <w:tc>
          <w:tcPr>
            <w:tcW w:type="dxa" w:w="4927"/>
          </w:tcPr>
          <w:p w14:paraId="0C000000">
            <w:pPr>
              <w:spacing w:after="0" w:line="240" w:lineRule="auto"/>
              <w:ind w:firstLine="0" w:left="10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</w:t>
            </w:r>
          </w:p>
        </w:tc>
        <w:tc>
          <w:tcPr>
            <w:tcW w:type="dxa" w:w="4712"/>
          </w:tcPr>
          <w:p w14:paraId="0D000000">
            <w:pPr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</w:t>
            </w:r>
          </w:p>
        </w:tc>
      </w:tr>
      <w:tr>
        <w:tc>
          <w:tcPr>
            <w:tcW w:type="dxa" w:w="9639"/>
            <w:gridSpan w:val="2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Новое Село</w:t>
            </w:r>
          </w:p>
        </w:tc>
      </w:tr>
    </w:tbl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программы профилактики рисков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ценностям при осущес</w:t>
      </w:r>
      <w:r>
        <w:rPr>
          <w:rFonts w:ascii="Times New Roman" w:hAnsi="Times New Roman"/>
          <w:b w:val="1"/>
          <w:sz w:val="28"/>
        </w:rPr>
        <w:t>твлении муниципального контроля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сфере благоустройства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района: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(прилагается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Главному специалисту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</w:t>
      </w:r>
      <w:r>
        <w:rPr>
          <w:rFonts w:ascii="Times New Roman" w:hAnsi="Times New Roman"/>
          <w:sz w:val="28"/>
        </w:rPr>
        <w:t>Н.Л. Брачковой</w:t>
      </w:r>
      <w:r>
        <w:rPr>
          <w:rFonts w:ascii="Times New Roman" w:hAnsi="Times New Roman"/>
          <w:sz w:val="28"/>
        </w:rPr>
        <w:t xml:space="preserve"> разместить настоящее распоряжение на официальном сайте администрации муниципального образования Брюховецкий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 в информационно – телекоммуникационной сети «Интернет».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распоряжение вступает в силу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В.А. Назаренко</w:t>
      </w:r>
    </w:p>
    <w:p w14:paraId="25000000">
      <w:pPr>
        <w:sectPr>
          <w:headerReference r:id="rId2" w:type="default"/>
          <w:pgSz w:h="16838" w:orient="portrait" w:w="11906"/>
          <w:pgMar w:bottom="1077" w:footer="709" w:gutter="0" w:header="709" w:left="1701" w:right="567" w:top="1077"/>
          <w:pgNumType w:start="1"/>
          <w:titlePg/>
        </w:sectPr>
      </w:pPr>
    </w:p>
    <w:p w14:paraId="26000000">
      <w:pPr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7000000">
      <w:pPr>
        <w:spacing w:after="0" w:line="240" w:lineRule="auto"/>
        <w:ind w:firstLine="0" w:left="5529"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hanging="284"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</w:p>
    <w:p w14:paraId="29000000">
      <w:pPr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Брюховецкого района</w:t>
      </w:r>
    </w:p>
    <w:p w14:paraId="2A000000">
      <w:pPr>
        <w:spacing w:after="0" w:line="240" w:lineRule="auto"/>
        <w:ind w:hanging="284"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_____</w:t>
      </w:r>
    </w:p>
    <w:p w14:paraId="2B000000">
      <w:pPr>
        <w:spacing w:after="0" w:line="240" w:lineRule="auto"/>
        <w:ind w:firstLine="0" w:left="5670"/>
        <w:rPr>
          <w:rFonts w:ascii="Times New Roman" w:hAnsi="Times New Roman"/>
          <w:b w:val="1"/>
          <w:sz w:val="26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профилактики рисков причинения вреда (ущерба)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охраняемым законом ценностям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 осуществлении 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контроля в сфере благоустройства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1. Анализ текущего состояния </w:t>
      </w:r>
      <w:r>
        <w:rPr>
          <w:rFonts w:ascii="Times New Roman" w:hAnsi="Times New Roman"/>
          <w:sz w:val="28"/>
        </w:rPr>
        <w:t xml:space="preserve">осуществления муниципального контроля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сфере </w:t>
      </w:r>
      <w:r>
        <w:rPr>
          <w:rFonts w:ascii="Times New Roman" w:hAnsi="Times New Roman"/>
          <w:sz w:val="28"/>
        </w:rPr>
        <w:t>благоустройства, описание</w:t>
      </w:r>
      <w:r>
        <w:rPr>
          <w:rFonts w:ascii="Times New Roman" w:hAnsi="Times New Roman"/>
          <w:sz w:val="28"/>
        </w:rPr>
        <w:t xml:space="preserve"> текущего развития профилактической </w:t>
      </w:r>
    </w:p>
    <w:p w14:paraId="33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характеристика проблем, на решение которых направлена </w:t>
      </w:r>
    </w:p>
    <w:p w14:paraId="34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</w:t>
      </w:r>
    </w:p>
    <w:p w14:paraId="35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(далее –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разработана в </w:t>
      </w:r>
      <w:r>
        <w:rPr>
          <w:rFonts w:ascii="Times New Roman" w:hAnsi="Times New Roman"/>
          <w:sz w:val="28"/>
        </w:rPr>
        <w:t xml:space="preserve">целях реализации положений </w:t>
      </w:r>
      <w:r>
        <w:rPr>
          <w:rFonts w:ascii="Times New Roman" w:hAnsi="Times New Roman"/>
          <w:sz w:val="28"/>
        </w:rPr>
        <w:t xml:space="preserve">Федерального закона от 31 июля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248-ФЗ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 (дал</w:t>
      </w:r>
      <w:r>
        <w:rPr>
          <w:rFonts w:ascii="Times New Roman" w:hAnsi="Times New Roman"/>
          <w:sz w:val="28"/>
        </w:rPr>
        <w:t xml:space="preserve">ее – Федеральный закон от 31 июля </w:t>
      </w:r>
      <w:r>
        <w:rPr>
          <w:rFonts w:ascii="Times New Roman" w:hAnsi="Times New Roman"/>
          <w:sz w:val="28"/>
        </w:rPr>
        <w:t>2020 № 248-ФЗ)</w:t>
      </w:r>
      <w:r>
        <w:rPr>
          <w:rFonts w:ascii="Times New Roman" w:hAnsi="Times New Roman"/>
          <w:sz w:val="28"/>
        </w:rPr>
        <w:t xml:space="preserve">, в соответствии с </w:t>
      </w:r>
      <w:r>
        <w:rPr>
          <w:rFonts w:ascii="Times New Roman" w:hAnsi="Times New Roman"/>
          <w:sz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>
        <w:rPr>
          <w:rFonts w:ascii="Times New Roman" w:hAnsi="Times New Roman"/>
          <w:sz w:val="28"/>
        </w:rPr>
        <w:t xml:space="preserve">а Российской Федерации от 25 июня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990. </w:t>
      </w:r>
    </w:p>
    <w:p w14:paraId="37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Понятия, применяемые в Программе профилактики, используются в значениях, указанны</w:t>
      </w:r>
      <w:r>
        <w:rPr>
          <w:rFonts w:ascii="Times New Roman" w:hAnsi="Times New Roman"/>
          <w:sz w:val="28"/>
        </w:rPr>
        <w:t xml:space="preserve">х в Федеральном законе от 31июля </w:t>
      </w:r>
      <w:r>
        <w:rPr>
          <w:rFonts w:ascii="Times New Roman" w:hAnsi="Times New Roman"/>
          <w:sz w:val="28"/>
        </w:rPr>
        <w:t>2020 № 248-ФЗ.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Предметом муниципального контроля в сфере благоустройства является </w:t>
      </w:r>
      <w:r>
        <w:rPr>
          <w:rFonts w:ascii="Times New Roman" w:hAnsi="Times New Roman"/>
          <w:sz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>
        <w:rPr>
          <w:rFonts w:ascii="Times New Roman" w:hAnsi="Times New Roman"/>
          <w:sz w:val="28"/>
        </w:rPr>
        <w:t xml:space="preserve">а территории 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района, утвержденными ре</w:t>
      </w:r>
      <w:r>
        <w:rPr>
          <w:rFonts w:ascii="Times New Roman" w:hAnsi="Times New Roman"/>
          <w:sz w:val="28"/>
        </w:rPr>
        <w:t xml:space="preserve">шением Совета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>еления Брюховецкого района от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августа </w:t>
      </w:r>
      <w:r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154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правил благоустройства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rFonts w:ascii="Times New Roman" w:hAnsi="Times New Roman"/>
          <w:sz w:val="28"/>
        </w:rPr>
        <w:t>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В течение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3 статьи 9 Федерального закона </w:t>
      </w:r>
      <w:r>
        <w:rPr>
          <w:rFonts w:ascii="Times New Roman" w:hAnsi="Times New Roman"/>
          <w:sz w:val="28"/>
        </w:rPr>
        <w:t xml:space="preserve">от 26 декабря </w:t>
      </w:r>
      <w:r>
        <w:rPr>
          <w:rFonts w:ascii="Times New Roman" w:hAnsi="Times New Roman"/>
          <w:sz w:val="28"/>
        </w:rPr>
        <w:t>2008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294-ФЗ «О защите прав юридических лиц и </w:t>
      </w:r>
      <w:r>
        <w:rPr>
          <w:rFonts w:ascii="Times New Roman" w:hAnsi="Times New Roman"/>
          <w:sz w:val="28"/>
        </w:rPr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 xml:space="preserve">сельского поселения Брюховецкого района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контрольный орган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плановые выездные проверки</w:t>
      </w:r>
      <w:r>
        <w:rPr>
          <w:rFonts w:ascii="Times New Roman" w:hAnsi="Times New Roman"/>
          <w:sz w:val="28"/>
        </w:rPr>
        <w:t xml:space="preserve"> юридичес</w:t>
      </w:r>
      <w:r>
        <w:rPr>
          <w:rFonts w:ascii="Times New Roman" w:hAnsi="Times New Roman"/>
          <w:sz w:val="28"/>
        </w:rPr>
        <w:t xml:space="preserve">ких лиц,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проводились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3"/>
        <w:tabs>
          <w:tab w:leader="none" w:pos="2932" w:val="left"/>
        </w:tabs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>
        <w:rPr>
          <w:rFonts w:ascii="Times New Roman" w:hAnsi="Times New Roman"/>
          <w:sz w:val="28"/>
        </w:rPr>
        <w:t xml:space="preserve">контрольным органом </w:t>
      </w:r>
      <w:r>
        <w:rPr>
          <w:rFonts w:ascii="Times New Roman" w:hAnsi="Times New Roman"/>
          <w:sz w:val="28"/>
        </w:rPr>
        <w:t xml:space="preserve">в течение года проводились плановые (рейдовые) осмотры, обследования территорий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>сельского поселения Брюховецкого района</w:t>
      </w:r>
      <w:r>
        <w:rPr>
          <w:rFonts w:ascii="Times New Roman" w:hAnsi="Times New Roman"/>
          <w:sz w:val="28"/>
        </w:rPr>
        <w:t xml:space="preserve"> в целях выявления нарушений Правил благоустройства.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арушений требований Правил благоустройства </w:t>
      </w:r>
      <w:r>
        <w:rPr>
          <w:rFonts w:ascii="Times New Roman" w:hAnsi="Times New Roman"/>
          <w:sz w:val="28"/>
        </w:rPr>
        <w:t>не выявлено</w:t>
      </w:r>
      <w:r>
        <w:rPr>
          <w:rFonts w:ascii="Times New Roman" w:hAnsi="Times New Roman"/>
          <w:sz w:val="28"/>
        </w:rPr>
        <w:t>.</w:t>
      </w:r>
    </w:p>
    <w:p w14:paraId="3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14:paraId="3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организовано размещение </w:t>
      </w:r>
      <w:r>
        <w:rPr>
          <w:rFonts w:ascii="Times New Roman" w:hAnsi="Times New Roman"/>
          <w:sz w:val="28"/>
        </w:rPr>
        <w:t xml:space="preserve">и поддержание в актуальном состоянии </w:t>
      </w:r>
      <w:r>
        <w:rPr>
          <w:rFonts w:ascii="Times New Roman" w:hAnsi="Times New Roman"/>
          <w:sz w:val="28"/>
        </w:rPr>
        <w:t xml:space="preserve">Правил благоустройства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  <w:highlight w:val="yellow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подготовлено </w:t>
      </w:r>
      <w:r>
        <w:rPr>
          <w:rFonts w:ascii="Times New Roman" w:hAnsi="Times New Roman"/>
          <w:sz w:val="28"/>
        </w:rPr>
        <w:t xml:space="preserve">и размещено на официальном </w:t>
      </w:r>
      <w:r>
        <w:rPr>
          <w:rFonts w:ascii="Times New Roman" w:hAnsi="Times New Roman"/>
          <w:sz w:val="28"/>
        </w:rPr>
        <w:t>сайте обобщение</w:t>
      </w:r>
      <w:r>
        <w:rPr>
          <w:rFonts w:ascii="Times New Roman" w:hAnsi="Times New Roman"/>
          <w:sz w:val="28"/>
        </w:rPr>
        <w:t xml:space="preserve"> практики осуществления муниципального контроля</w:t>
      </w:r>
      <w:r>
        <w:rPr>
          <w:rFonts w:ascii="Times New Roman" w:hAnsi="Times New Roman"/>
          <w:sz w:val="28"/>
        </w:rPr>
        <w:t xml:space="preserve"> 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; 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подготовлена и размещена в средствах массовой информации (официальный </w:t>
      </w:r>
      <w:r>
        <w:rPr>
          <w:rFonts w:ascii="Times New Roman" w:hAnsi="Times New Roman"/>
          <w:sz w:val="28"/>
        </w:rPr>
        <w:t>сайт,</w:t>
      </w:r>
      <w:r>
        <w:rPr>
          <w:rFonts w:ascii="Times New Roman" w:hAnsi="Times New Roman"/>
          <w:sz w:val="28"/>
        </w:rPr>
        <w:t xml:space="preserve"> социальные сети) информация о необходимости соблюдения требований Правил благоустройства;</w:t>
      </w:r>
    </w:p>
    <w:p w14:paraId="3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опубликованы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поддерживаются в актуальном состоянии </w:t>
      </w:r>
      <w:r>
        <w:rPr>
          <w:rFonts w:ascii="Times New Roman" w:hAnsi="Times New Roman"/>
          <w:sz w:val="28"/>
        </w:rPr>
        <w:t>Руководства по соблюдению обязательных требований при осуществлении муниципального контроля</w:t>
      </w:r>
      <w:r>
        <w:rPr>
          <w:rFonts w:ascii="Times New Roman" w:hAnsi="Times New Roman"/>
          <w:sz w:val="28"/>
        </w:rPr>
        <w:t>.</w:t>
      </w:r>
    </w:p>
    <w:p w14:paraId="4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4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мессенджеров (совместные чаты с представителями юридических лиц).</w:t>
      </w:r>
      <w:r>
        <w:rPr>
          <w:rFonts w:ascii="Times New Roman" w:hAnsi="Times New Roman"/>
          <w:sz w:val="28"/>
        </w:rPr>
        <w:t xml:space="preserve"> </w:t>
      </w:r>
    </w:p>
    <w:p w14:paraId="4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2. Цели и задачи реализации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профилактики</w:t>
      </w:r>
    </w:p>
    <w:p w14:paraId="4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направлена на достижение основных целей:</w:t>
      </w:r>
    </w:p>
    <w:p w14:paraId="4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</w:rPr>
        <w:t>;</w:t>
      </w:r>
    </w:p>
    <w:p w14:paraId="4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повышение уровня благоустройства, соблюдения чистоты и порядка на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поставленных целей осуществляется за счет решения следующих задач:</w:t>
      </w:r>
    </w:p>
    <w:p w14:paraId="4B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ируемых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 </w:t>
      </w:r>
      <w:r>
        <w:rPr>
          <w:rFonts w:ascii="Times New Roman" w:hAnsi="Times New Roman"/>
          <w:sz w:val="28"/>
        </w:rPr>
        <w:t>на неукоснительное</w:t>
      </w:r>
      <w:r>
        <w:rPr>
          <w:rFonts w:ascii="Times New Roman" w:hAnsi="Times New Roman"/>
          <w:sz w:val="28"/>
        </w:rPr>
        <w:t xml:space="preserve"> соблюдени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мотивация их к снижению нарушений в сфере благоустройства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повышени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качества содержания объектов благоустройства</w:t>
      </w:r>
      <w:r>
        <w:rPr>
          <w:rFonts w:ascii="Times New Roman" w:hAnsi="Times New Roman"/>
          <w:sz w:val="28"/>
        </w:rPr>
        <w:t>;</w:t>
      </w:r>
    </w:p>
    <w:p w14:paraId="4C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</w:t>
      </w:r>
      <w:r>
        <w:rPr>
          <w:rFonts w:ascii="Times New Roman" w:hAnsi="Times New Roman"/>
          <w:sz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</w:rPr>
        <w:t>;</w:t>
      </w:r>
    </w:p>
    <w:p w14:paraId="4D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единого понимания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>и 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осуществляющ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муниципальный контроль,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порядка организации и осуществления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сфере благоустройства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повышение правосознания и правовой культуры</w:t>
      </w:r>
      <w:r>
        <w:rPr>
          <w:rFonts w:ascii="Times New Roman" w:hAnsi="Times New Roman"/>
          <w:sz w:val="28"/>
        </w:rPr>
        <w:t xml:space="preserve"> контролируемых лиц</w:t>
      </w:r>
      <w:r>
        <w:rPr>
          <w:rFonts w:ascii="Times New Roman" w:hAnsi="Times New Roman"/>
          <w:sz w:val="28"/>
        </w:rPr>
        <w:t>.</w:t>
      </w:r>
    </w:p>
    <w:p w14:paraId="4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и задачи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 xml:space="preserve">направлены на минимизацию рисков причинения вреда </w:t>
      </w:r>
      <w:r>
        <w:rPr>
          <w:rFonts w:ascii="Times New Roman" w:hAnsi="Times New Roman"/>
          <w:sz w:val="28"/>
        </w:rPr>
        <w:t xml:space="preserve">(ущерба) </w:t>
      </w:r>
      <w:r>
        <w:rPr>
          <w:rFonts w:ascii="Times New Roman" w:hAnsi="Times New Roman"/>
          <w:sz w:val="28"/>
        </w:rPr>
        <w:t>охраняемым законом ценностям</w:t>
      </w:r>
      <w:r>
        <w:rPr>
          <w:rFonts w:ascii="Times New Roman" w:hAnsi="Times New Roman"/>
          <w:sz w:val="28"/>
        </w:rPr>
        <w:t>.</w:t>
      </w:r>
    </w:p>
    <w:p w14:paraId="4F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50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Перечень профилактических мероприятий</w:t>
      </w:r>
      <w:r>
        <w:rPr>
          <w:rFonts w:ascii="Times New Roman" w:hAnsi="Times New Roman"/>
          <w:sz w:val="28"/>
        </w:rPr>
        <w:t xml:space="preserve">, </w:t>
      </w:r>
    </w:p>
    <w:p w14:paraId="51000000">
      <w:pPr>
        <w:pStyle w:val="Style_3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сроки (периодичность их проведения)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54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55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предостережений;</w:t>
      </w:r>
    </w:p>
    <w:p w14:paraId="56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57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визит.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4. Показатели результативности и эффективности программы профилактики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проводимых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14:paraId="5C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нформированность подконтрольных субъектов</w:t>
      </w:r>
      <w:r>
        <w:rPr>
          <w:rFonts w:ascii="Times New Roman" w:hAnsi="Times New Roman"/>
          <w:sz w:val="28"/>
        </w:rPr>
        <w:t xml:space="preserve"> о содержании требований Правил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%; </w:t>
      </w:r>
    </w:p>
    <w:p w14:paraId="5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90 </w:t>
      </w:r>
      <w:r>
        <w:rPr>
          <w:rFonts w:ascii="Times New Roman" w:hAnsi="Times New Roman"/>
          <w:sz w:val="28"/>
        </w:rPr>
        <w:t xml:space="preserve">%; </w:t>
      </w:r>
    </w:p>
    <w:p w14:paraId="5E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</w:t>
      </w:r>
      <w:r>
        <w:rPr>
          <w:rFonts w:ascii="Times New Roman" w:hAnsi="Times New Roman"/>
          <w:sz w:val="28"/>
        </w:rPr>
        <w:t xml:space="preserve">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– </w:t>
      </w:r>
      <w:r>
        <w:rPr>
          <w:rFonts w:ascii="Times New Roman" w:hAnsi="Times New Roman"/>
          <w:sz w:val="28"/>
        </w:rPr>
        <w:t xml:space="preserve">100 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5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доля профилактических мероприятий в объеме контрольных мероприятий - 90 %;</w:t>
      </w:r>
    </w:p>
    <w:p w14:paraId="6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ыполнение профилактических программных мероприятий согласно плану» – 100%.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sz w:val="28"/>
        </w:rPr>
        <w:t>результативности и эффективности программы профилактики</w:t>
      </w:r>
      <w:r>
        <w:rPr>
          <w:rFonts w:ascii="Times New Roman" w:hAnsi="Times New Roman"/>
          <w:sz w:val="28"/>
        </w:rPr>
        <w:t xml:space="preserve"> осуществляется в течение периода её реализации</w:t>
      </w:r>
      <w:r>
        <w:rPr>
          <w:rFonts w:ascii="Times New Roman" w:hAnsi="Times New Roman"/>
          <w:sz w:val="28"/>
        </w:rPr>
        <w:t>. Отчетными показателями результативности и эффективности программы профилактики являются: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250"/>
        <w:tblLayout w:type="fixed"/>
      </w:tblPr>
      <w:tblGrid>
        <w:gridCol w:w="5023"/>
        <w:gridCol w:w="4580"/>
      </w:tblGrid>
      <w:tr>
        <w:trPr>
          <w:tblHeader/>
        </w:trPr>
        <w:tc>
          <w:tcPr>
            <w:tcW w:type="dxa" w:w="5023"/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4580"/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5023"/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580"/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023"/>
          </w:tcPr>
          <w:p w14:paraId="67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информированных</w:t>
            </w:r>
          </w:p>
          <w:p w14:paraId="68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обязательных требованиях</w:t>
            </w:r>
          </w:p>
        </w:tc>
        <w:tc>
          <w:tcPr>
            <w:tcW w:type="dxa" w:w="4580"/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023"/>
          </w:tcPr>
          <w:p w14:paraId="6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type="dxa" w:w="4580"/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023"/>
          </w:tcPr>
          <w:p w14:paraId="6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type="dxa" w:w="4580"/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70 %</w:t>
            </w:r>
          </w:p>
        </w:tc>
      </w:tr>
      <w:tr>
        <w:tc>
          <w:tcPr>
            <w:tcW w:type="dxa" w:w="5023"/>
          </w:tcPr>
          <w:p w14:paraId="70000000">
            <w:pPr>
              <w:pStyle w:val="Style_7"/>
              <w:rPr>
                <w:color w:themeColor="text1" w:val="000000"/>
                <w:sz w:val="28"/>
              </w:rPr>
            </w:pPr>
            <w:r>
              <w:rPr>
                <w:sz w:val="28"/>
              </w:rPr>
              <w:t xml:space="preserve">Доля выполнения </w:t>
            </w:r>
            <w:r>
              <w:rPr>
                <w:sz w:val="28"/>
              </w:rPr>
              <w:t xml:space="preserve">мероприятий, предусмотренных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профилактики </w:t>
            </w:r>
          </w:p>
        </w:tc>
        <w:tc>
          <w:tcPr>
            <w:tcW w:type="dxa" w:w="4580"/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100 %</w:t>
            </w:r>
          </w:p>
        </w:tc>
      </w:tr>
    </w:tbl>
    <w:p w14:paraId="7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  <w:r>
        <w:rPr>
          <w:rFonts w:ascii="Times New Roman" w:hAnsi="Times New Roman"/>
          <w:sz w:val="28"/>
        </w:rPr>
        <w:t xml:space="preserve"> </w:t>
      </w:r>
    </w:p>
    <w:p w14:paraId="7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В.А. Назаренко</w:t>
      </w:r>
    </w:p>
    <w:p w14:paraId="7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7B000000">
      <w:pPr>
        <w:sectPr>
          <w:headerReference r:id="rId3" w:type="default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p w14:paraId="7C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7D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14:paraId="7E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профилактических мероприятий,</w:t>
      </w:r>
    </w:p>
    <w:p w14:paraId="82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(периодичность) их проведения</w:t>
      </w:r>
    </w:p>
    <w:p w14:paraId="8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8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1653"/>
        <w:gridCol w:w="3402"/>
        <w:gridCol w:w="2399"/>
        <w:gridCol w:w="1657"/>
      </w:tblGrid>
      <w:tr>
        <w:trPr>
          <w:trHeight w:hRule="atLeast" w:val="268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мероприятия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мероприятия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олжностные лица местной администрации, ответственные за реализацию мероприятия</w:t>
            </w:r>
          </w:p>
          <w:p w14:paraId="8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(периодичность) их проведения</w:t>
            </w:r>
          </w:p>
        </w:tc>
      </w:tr>
      <w:tr>
        <w:tc>
          <w:tcPr>
            <w:tcW w:type="dxa" w:w="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8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 в течение года;</w:t>
            </w:r>
          </w:p>
          <w:p w14:paraId="9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обновления</w:t>
            </w:r>
          </w:p>
        </w:tc>
      </w:tr>
      <w:tr>
        <w:trPr>
          <w:trHeight w:hRule="atLeast" w:val="194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</w:t>
            </w:r>
            <w:r>
              <w:rPr>
                <w:rFonts w:ascii="Times New Roman" w:hAnsi="Times New Roman"/>
                <w:sz w:val="28"/>
              </w:rPr>
              <w:t>правоприменительной</w:t>
            </w:r>
            <w:r>
              <w:rPr>
                <w:rFonts w:ascii="Times New Roman" w:hAnsi="Times New Roman"/>
                <w:sz w:val="28"/>
              </w:rPr>
              <w:t xml:space="preserve"> практики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ascii="Times New Roman" w:hAnsi="Times New Roman"/>
                <w:sz w:val="28"/>
              </w:rPr>
              <w:t xml:space="preserve">сфере благоустройства </w:t>
            </w:r>
            <w:r>
              <w:rPr>
                <w:rFonts w:ascii="Times New Roman" w:hAnsi="Times New Roman"/>
                <w:sz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>
              <w:rPr>
                <w:rFonts w:ascii="Times New Roman" w:hAnsi="Times New Roman"/>
                <w:sz w:val="28"/>
              </w:rPr>
              <w:t>дней со дня утверждения доклада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Объявление </w:t>
            </w:r>
            <w:r>
              <w:rPr>
                <w:rFonts w:ascii="Times New Roman" w:hAnsi="Times New Roman"/>
                <w:sz w:val="28"/>
              </w:rPr>
              <w:t>предостережения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A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79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должностными лицами местной администрации</w:t>
            </w:r>
            <w:r>
              <w:rPr>
                <w:rFonts w:ascii="Times New Roman" w:hAnsi="Times New Roman"/>
                <w:sz w:val="28"/>
              </w:rPr>
              <w:t xml:space="preserve"> консультаций.</w:t>
            </w:r>
          </w:p>
          <w:p w14:paraId="A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законом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>
              <w:rPr>
                <w:rFonts w:ascii="Times New Roman" w:hAnsi="Times New Roman"/>
                <w:sz w:val="28"/>
              </w:rPr>
              <w:t>профилактического мероприятия, контрольного (надзорного) мероприятия.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</w:t>
            </w:r>
            <w:r>
              <w:rPr>
                <w:rFonts w:ascii="Times New Roman" w:hAnsi="Times New Roman"/>
                <w:sz w:val="28"/>
              </w:rPr>
              <w:t xml:space="preserve">юховецкого района,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A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</w:t>
            </w:r>
            <w:r>
              <w:rPr>
                <w:rFonts w:ascii="Times New Roman" w:hAnsi="Times New Roman"/>
                <w:sz w:val="28"/>
              </w:rPr>
              <w:t xml:space="preserve"> визит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A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Профилактические визиты подлежат проведению в течение года (при наличии оснований)</w:t>
            </w:r>
          </w:p>
          <w:p w14:paraId="A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В.А. Назаренко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СОГЛАСОВАНИЯ</w:t>
      </w:r>
    </w:p>
    <w:p w14:paraId="C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распоряжения администрации Новосельского сельского</w:t>
      </w:r>
    </w:p>
    <w:p w14:paraId="C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Брюховецкого района от ____________ № _____</w:t>
      </w:r>
    </w:p>
    <w:p w14:paraId="C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</w:p>
    <w:p w14:paraId="C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причинения вреда (ущерба) охраняемым законом</w:t>
      </w:r>
    </w:p>
    <w:p w14:paraId="C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ценностям при осуществлении муниципального контроля</w:t>
      </w:r>
    </w:p>
    <w:p w14:paraId="C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благоустройства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год»</w:t>
      </w:r>
    </w:p>
    <w:p w14:paraId="C9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Style w:val="Style_2"/>
        <w:tblW w:type="auto" w:w="0"/>
        <w:tblLayout w:type="fixed"/>
      </w:tblPr>
      <w:tblGrid>
        <w:gridCol w:w="7054"/>
        <w:gridCol w:w="425"/>
        <w:gridCol w:w="2488"/>
      </w:tblGrid>
      <w:tr>
        <w:tc>
          <w:tcPr>
            <w:tcW w:type="dxa" w:w="7054"/>
          </w:tcPr>
          <w:p w14:paraId="CD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ой Новосельского</w:t>
            </w:r>
          </w:p>
          <w:p w14:paraId="CE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14:paraId="CF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14:paraId="D0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 w14:paraId="D1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2000000">
            <w:pPr>
              <w:spacing w:after="0" w:line="240" w:lineRule="auto"/>
              <w:ind w:firstLine="1667" w:left="-166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8"/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В.А. Назаренко</w:t>
            </w:r>
          </w:p>
        </w:tc>
      </w:tr>
      <w:tr>
        <w:trPr>
          <w:trHeight w:hRule="atLeast" w:val="1707"/>
        </w:trPr>
        <w:tc>
          <w:tcPr>
            <w:tcW w:type="dxa" w:w="7054"/>
          </w:tcPr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подготовлен:</w:t>
            </w:r>
          </w:p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Новосельского сельского поселения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</w:tc>
        <w:tc>
          <w:tcPr>
            <w:tcW w:type="dxa" w:w="425"/>
          </w:tcPr>
          <w:p w14:paraId="D9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A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8"/>
          </w:tcPr>
          <w:p w14:paraId="DB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C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Н.Л. Брачкова</w:t>
            </w:r>
          </w:p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4000000">
      <w:pPr>
        <w:widowControl w:val="0"/>
        <w:tabs>
          <w:tab w:leader="none" w:pos="7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5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E6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7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8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9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A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B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C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D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E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F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0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1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2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3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4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</w:t>
      </w:r>
    </w:p>
    <w:p w14:paraId="F9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РАСПОРЯЖЕНИЮ</w:t>
      </w:r>
    </w:p>
    <w:p w14:paraId="F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D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Наименование постановления: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 при осуществлении муниципального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сфере благоустройства на 202</w:t>
      </w:r>
      <w:r>
        <w:rPr>
          <w:rFonts w:ascii="Times New Roman" w:hAnsi="Times New Roman"/>
          <w:sz w:val="28"/>
        </w:rPr>
        <w:t>5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год» </w:t>
      </w:r>
    </w:p>
    <w:p w14:paraId="F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 внесен: </w:t>
      </w:r>
    </w:p>
    <w:p w14:paraId="0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Новосельского сельского поселения Брюховецкого района</w:t>
      </w:r>
    </w:p>
    <w:p w14:paraId="0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 разослать:</w:t>
      </w:r>
    </w:p>
    <w:p w14:paraId="06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специалисту администрации Новосельского сельского поселения Брюховецкого района – 1 экз.;</w:t>
      </w:r>
    </w:p>
    <w:p w14:paraId="07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инспектору по ЛПХ и земельным отношениям</w:t>
      </w:r>
      <w:r>
        <w:rPr>
          <w:rFonts w:ascii="Times New Roman" w:hAnsi="Times New Roman"/>
          <w:sz w:val="28"/>
        </w:rPr>
        <w:t xml:space="preserve"> администрации Новосельского сельского поселения Брюховецкого района – 1 экз. </w:t>
      </w:r>
    </w:p>
    <w:p w14:paraId="0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C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F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        </w:t>
      </w:r>
      <w:r>
        <w:rPr>
          <w:rFonts w:ascii="Times New Roman" w:hAnsi="Times New Roman"/>
          <w:sz w:val="28"/>
        </w:rPr>
        <w:t>Брачкова Наталья Леонидовна</w:t>
      </w:r>
    </w:p>
    <w:p w14:paraId="1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(подпись)          </w:t>
      </w:r>
      <w:r>
        <w:rPr>
          <w:rFonts w:ascii="Times New Roman" w:hAnsi="Times New Roman"/>
          <w:sz w:val="28"/>
        </w:rPr>
        <w:t xml:space="preserve">                           53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                      __________202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14:paraId="1E010000">
      <w:pPr>
        <w:tabs>
          <w:tab w:leader="none" w:pos="8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Абзац_пост"/>
    <w:basedOn w:val="Style_9"/>
    <w:link w:val="Style_13_ch"/>
    <w:pPr>
      <w:spacing w:after="0" w:before="120" w:line="240" w:lineRule="auto"/>
      <w:ind w:firstLine="720" w:left="0"/>
      <w:jc w:val="both"/>
    </w:pPr>
    <w:rPr>
      <w:rFonts w:ascii="Times New Roman" w:hAnsi="Times New Roman"/>
      <w:sz w:val="26"/>
    </w:rPr>
  </w:style>
  <w:style w:styleId="Style_13_ch" w:type="character">
    <w:name w:val="Абзац_пост"/>
    <w:basedOn w:val="Style_9_ch"/>
    <w:link w:val="Style_13"/>
    <w:rPr>
      <w:rFonts w:ascii="Times New Roman" w:hAnsi="Times New Roman"/>
      <w:sz w:val="26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basedOn w:val="Style_9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9_ch"/>
    <w:link w:val="Style_15"/>
    <w:rPr>
      <w:sz w:val="20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oter"/>
    <w:basedOn w:val="Style_9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9_ch"/>
    <w:link w:val="Style_17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9" w:type="paragraph">
    <w:name w:val="endnote reference"/>
    <w:basedOn w:val="Style_18"/>
    <w:link w:val="Style_19_ch"/>
    <w:rPr>
      <w:vertAlign w:val="superscript"/>
    </w:rPr>
  </w:style>
  <w:style w:styleId="Style_19_ch" w:type="character">
    <w:name w:val="endnote reference"/>
    <w:basedOn w:val="Style_18_ch"/>
    <w:link w:val="Style_19"/>
    <w:rPr>
      <w:vertAlign w:val="superscript"/>
    </w:rPr>
  </w:style>
  <w:style w:styleId="Style_20" w:type="paragraph">
    <w:name w:val="footnote reference"/>
    <w:basedOn w:val="Style_18"/>
    <w:link w:val="Style_20_ch"/>
    <w:rPr>
      <w:vertAlign w:val="superscript"/>
    </w:rPr>
  </w:style>
  <w:style w:styleId="Style_20_ch" w:type="character">
    <w:name w:val="footnote reference"/>
    <w:basedOn w:val="Style_18_ch"/>
    <w:link w:val="Style_20"/>
    <w:rPr>
      <w:vertAlign w:val="superscript"/>
    </w:rPr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9"/>
    <w:next w:val="Style_9"/>
    <w:link w:val="Style_23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23_ch" w:type="character">
    <w:name w:val="heading 1"/>
    <w:basedOn w:val="Style_9_ch"/>
    <w:link w:val="Style_23"/>
    <w:rPr>
      <w:rFonts w:ascii="Times New Roman" w:hAnsi="Times New Roman"/>
      <w:b w:val="1"/>
      <w:sz w:val="28"/>
    </w:rPr>
  </w:style>
  <w:style w:styleId="Style_8" w:type="paragraph">
    <w:name w:val="Hyperlink"/>
    <w:basedOn w:val="Style_18"/>
    <w:link w:val="Style_8_ch"/>
    <w:rPr>
      <w:color w:themeColor="hyperlink" w:val="0000FF"/>
      <w:u w:val="single"/>
    </w:rPr>
  </w:style>
  <w:style w:styleId="Style_8_ch" w:type="character">
    <w:name w:val="Hyperlink"/>
    <w:basedOn w:val="Style_18_ch"/>
    <w:link w:val="Style_8"/>
    <w:rPr>
      <w:color w:themeColor="hyperlink" w:val="0000FF"/>
      <w:u w:val="single"/>
    </w:rPr>
  </w:style>
  <w:style w:styleId="Style_24" w:type="paragraph">
    <w:name w:val="Footnote"/>
    <w:basedOn w:val="Style_9"/>
    <w:link w:val="Style_24_ch"/>
    <w:pPr>
      <w:spacing w:after="0" w:line="240" w:lineRule="auto"/>
      <w:ind/>
    </w:pPr>
    <w:rPr>
      <w:sz w:val="20"/>
    </w:rPr>
  </w:style>
  <w:style w:styleId="Style_24_ch" w:type="character">
    <w:name w:val="Footnote"/>
    <w:basedOn w:val="Style_9_ch"/>
    <w:link w:val="Style_24"/>
    <w:rPr>
      <w:sz w:val="20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9" w:type="paragraph">
    <w:name w:val="toc 5"/>
    <w:next w:val="Style_9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FollowedHyperlink"/>
    <w:basedOn w:val="Style_18"/>
    <w:link w:val="Style_30_ch"/>
    <w:rPr>
      <w:color w:themeColor="followedHyperlink" w:val="800080"/>
      <w:u w:val="single"/>
    </w:rPr>
  </w:style>
  <w:style w:styleId="Style_30_ch" w:type="character">
    <w:name w:val="FollowedHyperlink"/>
    <w:basedOn w:val="Style_18_ch"/>
    <w:link w:val="Style_30"/>
    <w:rPr>
      <w:color w:themeColor="followedHyperlink" w:val="800080"/>
      <w:u w:val="single"/>
    </w:rPr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9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Balloon Text"/>
    <w:basedOn w:val="Style_9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9_ch"/>
    <w:link w:val="Style_34"/>
    <w:rPr>
      <w:rFonts w:ascii="Tahoma" w:hAnsi="Tahoma"/>
      <w:sz w:val="16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2024-10-10T06:13:20Z</dcterms:modified>
</cp:coreProperties>
</file>