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C9" w:rsidRDefault="004D50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50C9" w:rsidRDefault="004D50C9">
      <w:pPr>
        <w:pStyle w:val="ConsPlusNormal"/>
        <w:jc w:val="both"/>
        <w:outlineLvl w:val="0"/>
      </w:pPr>
    </w:p>
    <w:p w:rsidR="004D50C9" w:rsidRDefault="004D50C9">
      <w:pPr>
        <w:pStyle w:val="ConsPlusNormal"/>
        <w:jc w:val="right"/>
      </w:pPr>
      <w:r>
        <w:t>Утверждаю</w:t>
      </w:r>
    </w:p>
    <w:p w:rsidR="004D50C9" w:rsidRDefault="004D50C9">
      <w:pPr>
        <w:pStyle w:val="ConsPlusNormal"/>
        <w:jc w:val="right"/>
      </w:pPr>
      <w:r>
        <w:t>Председатель Государственного</w:t>
      </w:r>
    </w:p>
    <w:p w:rsidR="004D50C9" w:rsidRDefault="004D50C9">
      <w:pPr>
        <w:pStyle w:val="ConsPlusNormal"/>
        <w:jc w:val="right"/>
      </w:pPr>
      <w:r>
        <w:t>антинаркотического комитета</w:t>
      </w:r>
    </w:p>
    <w:p w:rsidR="004D50C9" w:rsidRDefault="004D50C9">
      <w:pPr>
        <w:pStyle w:val="ConsPlusNormal"/>
        <w:jc w:val="right"/>
      </w:pPr>
      <w:r>
        <w:t>В.А.КОЛОКОЛЬЦЕВ</w:t>
      </w:r>
    </w:p>
    <w:p w:rsidR="004D50C9" w:rsidRDefault="004D50C9">
      <w:pPr>
        <w:pStyle w:val="ConsPlusNormal"/>
        <w:jc w:val="right"/>
      </w:pPr>
      <w:r>
        <w:t>от 09.12.2016 N 8/6-5863</w:t>
      </w:r>
    </w:p>
    <w:p w:rsidR="004D50C9" w:rsidRDefault="004D50C9">
      <w:pPr>
        <w:pStyle w:val="ConsPlusNormal"/>
        <w:jc w:val="both"/>
      </w:pPr>
    </w:p>
    <w:p w:rsidR="004D50C9" w:rsidRDefault="004D50C9">
      <w:pPr>
        <w:pStyle w:val="ConsPlusTitle"/>
        <w:jc w:val="center"/>
      </w:pPr>
      <w:r>
        <w:t>РЕГЛАМЕНТ</w:t>
      </w:r>
    </w:p>
    <w:p w:rsidR="004D50C9" w:rsidRDefault="004D50C9">
      <w:pPr>
        <w:pStyle w:val="ConsPlusTitle"/>
        <w:jc w:val="center"/>
      </w:pPr>
      <w:r>
        <w:t>АНТИНАРКОТИЧЕСКОЙ КОМИССИИ В СУБЪЕКТЕ РОССИЙСКОЙ ФЕДЕРАЦИИ</w:t>
      </w:r>
    </w:p>
    <w:p w:rsidR="004D50C9" w:rsidRDefault="004D50C9">
      <w:pPr>
        <w:pStyle w:val="ConsPlusNormal"/>
        <w:jc w:val="both"/>
      </w:pPr>
    </w:p>
    <w:p w:rsidR="004D50C9" w:rsidRDefault="004D50C9">
      <w:pPr>
        <w:pStyle w:val="ConsPlusTitle"/>
        <w:jc w:val="center"/>
        <w:outlineLvl w:val="0"/>
      </w:pPr>
      <w:r>
        <w:t>I. Общие положения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 xml:space="preserve">1. Настоящий Регламент разработан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и устанавливает общие правила организации деятельности антинаркотической комиссии в субъекте Российской Федерации &lt;1&gt; по реализации ее полномочий, закрепленных в </w:t>
      </w:r>
      <w:hyperlink r:id="rId7" w:history="1">
        <w:r>
          <w:rPr>
            <w:color w:val="0000FF"/>
          </w:rPr>
          <w:t>Положении</w:t>
        </w:r>
      </w:hyperlink>
      <w:r>
        <w:t xml:space="preserve"> об антинаркотической комиссии в субъекте Российской Федерации &lt;2&gt;.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&lt;1&gt; Далее - "Комиссия".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&lt;2&gt; Далее - "Положение".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Title"/>
        <w:jc w:val="center"/>
        <w:outlineLvl w:val="0"/>
      </w:pPr>
      <w:r>
        <w:t>II. Полномочия председателя и членов Комиссии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2.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Председатель Комиссии представляет Комиссию по вопросам, отнесенным к ее компетенции.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Председатель Комиссии по итогам года не позднее первого квартала года, следующего за отчетным, информирует председателя Государственного антинаркотического комитета &lt;3&gt; о результатах деятельности Комиссии, о результатах проведения мониторинга наркоситуации в субъекте Российской Федерации, а также подготавливает предложения по улучшению наркоситуации в субъекте Российской Федерации.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&lt;3&gt; Далее - "Комитет".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3. Заместитель председателя Комиссии, по решению председателя Комиссии, в отсутствие председателя Комиссии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а также общественными объединениями и организациями.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4. Члены Комиссии имеют право: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знакомиться с документами и материалами Комиссии, непосредственно касающимися деятельности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голосовать на заседаниях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излагать в случае несогласия с решением Комиссии в письменной форме особое мнение.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Члены Комиссии обладают равными правами при подготовке и обсуждении рассматриваемых на заседании вопросов.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Члены Комиссии не вправе делегировать свои полномочия иным лицам.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5. Члены Комиссии обязаны: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 xml:space="preserve">присутствовать на заседаниях Комиссии. В случае невозможности присутствия члена Комиссии на заседании он обязан не позднее чем за 2 дня до </w:t>
      </w:r>
      <w:r>
        <w:lastRenderedPageBreak/>
        <w:t>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организовывать в рамках своих должностных полномочий выполнение решений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6.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7. Для организационного обеспечения деятельности Комиссии председатель Комиссии определяет структурное подразделение органа исполнительной власти субъекта Российской Федерации (аппарат Комиссии).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8. Председатель Комиссии назначает должностное лицо (руководителя аппарата Комиссии), определяет его полномочия по: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организации работы аппарата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обеспечению взаимодействия Комиссии с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общественными объединениями и организациями, а также средствами массовой информации;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иным вопросам, связанным с деятельностью Комиссии.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Title"/>
        <w:jc w:val="center"/>
        <w:outlineLvl w:val="0"/>
      </w:pPr>
      <w:r>
        <w:t>III. Планирование и организация работы Комиссии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9.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В случае проведения выездных заседаний Комиссии указывается место проведения заседания.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lastRenderedPageBreak/>
        <w:t>12. Предложения в план заседаний Комиссии вносятся в письменной форме членами Комиссии в аппарат Комиссии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наименование вопроса и краткое обоснование необходимости его рассмотрения на заседании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наименование органа, ответственного за подготовку вопроса;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перечень соисполнителей;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срок рассмотрения на заседании Комиссии и при необходимости место проведения заседания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Указанные предложения могут направляться аппаратом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не позднее одного месяца со дня получения предложений, если иное не оговорено в сопроводительном документе.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13. На основе предложений, поступивших в аппарат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14. Копии утвержденного плана заседаний Комиссии рассылаются аппаратом Комиссии членам Комиссии и направляются председателю Комитета. В случае привлечения к подготовке вопросов, включенных в план заседания Комиссии, территориальных органов федеральных органов исполнительной власти, органов исполнительной власти субъектов Российской Федерации либо органов местного самоуправления копии утвержденного плана заседаний Комиссии направляются и в их адрес.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15.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по мотивированному письменному предложению члена Комиссии (органа), ответственного за подготовку вопроса;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lastRenderedPageBreak/>
        <w:t>по рекомендациям Комитета, касающимся рассмотрения Комиссией вопросов.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Копии измененного утвержденного плана заседаний Комиссии рассылаются аппаратом Комиссии членам Комиссии и направляются председателю Комитета.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16. На заседаниях Комиссии рассмотрению подлежат не включенные в план вопросы о ходе реализации антинаркотических программ в субъекте Российской Федерации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17.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18.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Title"/>
        <w:jc w:val="center"/>
        <w:outlineLvl w:val="0"/>
      </w:pPr>
      <w:r>
        <w:t>IV. Порядок подготовки заседаний Комиссии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19.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 xml:space="preserve">20. Аппарат Комиссии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организаций, участвующим в подготовке </w:t>
      </w:r>
      <w:r>
        <w:lastRenderedPageBreak/>
        <w:t>материалов к заседанию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21. Проект повестки дня заседания Комиссии уточняется в процессе подготовки к очередному заседанию и представляется аппаратом Комиссии на утверждение председателю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bookmarkStart w:id="0" w:name="P74"/>
      <w:bookmarkEnd w:id="0"/>
      <w:r>
        <w:t>22. В аппарат Комиссии не позднее чем за 20 дней до даты проведения заседания представляются следующие материалы: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аналитическая справка по рассматриваемому вопросу;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тезисы выступления основного докладчика;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тезисы выступлений содокладчиков;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проект решения по рассматриваемому вопросу с указанием исполнителей поручений и сроков исполнения;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материалы согласования проекта решения с заинтересованными государственными органами;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особое мнение по представленному проекту, если таковое имеется;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иллюстрационные материалы к основному докладу и содокладам;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предложения по составу приглашенных на заседание Комиссии лиц.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23. Контроль за качеством и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 xml:space="preserve">24. В случае непредставления материалов в указанный в </w:t>
      </w:r>
      <w:hyperlink w:anchor="P74" w:history="1">
        <w:r>
          <w:rPr>
            <w:color w:val="0000FF"/>
          </w:rPr>
          <w:t>пункте 22</w:t>
        </w:r>
      </w:hyperlink>
      <w:r>
        <w:t xml:space="preserve">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25.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26.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 xml:space="preserve">Материалы, содержащие сведения, составляющие государственную тайну, рассылаются в соответствии с требованиями нормативных правовых актов </w:t>
      </w:r>
      <w:r>
        <w:lastRenderedPageBreak/>
        <w:t>Российской Федерации.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27.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Аппарат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28. В случае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субъекта Российской Федерации,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указанных актов. При необходимости представляется финансово-экономическое обоснование.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29. 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30.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образований, а также руководители иных органов и организаций, имеющих непосредственное отношение к рассматриваемому вопросу.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31.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Title"/>
        <w:jc w:val="center"/>
        <w:outlineLvl w:val="0"/>
      </w:pPr>
      <w:r>
        <w:t>V. Порядок проведения заседаний Комиссии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32. Заседания Комиссии созываются председателем Комиссии либо по его поручению руководителем аппарата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33. Лица, участвующие в заседаниях Комиссии, регистрируются сотрудниками аппарата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lastRenderedPageBreak/>
        <w:t>34. Заседание Комиссии считается правомочным, если на нем присутствует более половины ее членов.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35. Заседания проходят под председательством председателя Комиссии, который: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ведет заседание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организует обсуждение вопросов повестки дня заседания Комиссии;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организует обсуждение поступивших от членов Комиссии замечаний и предложений по проекту решения;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организует голосование и подсчет голосов, оглашает результаты голосования;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обеспечивает соблюдение положений настоящего Регламента членами Комиссии и приглашенными лицами.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В случае проведения голосования по рассматриваемому вопросу председатель голосует последним.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По поручению председателя Комиссии заседание может проводить его заместитель, пользуясь указанными правами.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36.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исполнительной власти субъектов Российской Федерации либо органов местного самоуправления, участвовавших в подготовке рассматриваемых вопросов.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37. Регламент заседания Комиссии определяется при подготовке к заседанию и утверждается непосредственно на заседании.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38.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lastRenderedPageBreak/>
        <w:t>39.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41. По решению председателя Комиссии на заседаниях Комиссии может вестись стенографическая запись и аудиозапись заседания.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42. Показ иллюстрационных материалов, сопровождающих выступления докладчика, содокладчиков и других выступающих, осуществляется аппаратом Комиссии с разрешения председателя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43.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44. Материалы, содержащие сведения, составляющие государственную тайну, передаются членам Комиссии под подпись и подлежат возврату сотрудникам аппарата Комиссии по окончании заседания.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45.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Title"/>
        <w:jc w:val="center"/>
        <w:outlineLvl w:val="0"/>
      </w:pPr>
      <w:r>
        <w:t>VI. Оформление решений, принятых на заседаниях Комиссии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46. Решение Комиссии оформляется протоколом, который в десятидневный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47. В протоколе указываются: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фамилии председательствующего, присутствующих на заседании членов Комиссии, приглашенных лиц и их должности;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вопросы, рассмотренные в ходе заседания;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lastRenderedPageBreak/>
        <w:t>принятые решения.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К протоколу прилагаются особые мнения членов Комиссии, если таковые имеются.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48.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49. Протоколы заседаний (выписки из протоколов заседаний) аппаратом Комиссии рассылаются членам Комиссии и председателю Комитета, а также 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Title"/>
        <w:jc w:val="center"/>
        <w:outlineLvl w:val="0"/>
      </w:pPr>
      <w:r>
        <w:t>VII. Исполнение поручений, содержащихся в решениях Комиссии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>50.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51. Контроль исполнения поручений, содержащихся в решениях Комиссии, осуществляет аппарат Комиссии.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52. Председатель Комиссии определяет сроки и периодичность представления ему результатов контроля.</w:t>
      </w:r>
    </w:p>
    <w:p w:rsidR="004D50C9" w:rsidRDefault="004D50C9">
      <w:pPr>
        <w:pStyle w:val="ConsPlusNormal"/>
        <w:spacing w:before="280"/>
        <w:ind w:firstLine="540"/>
        <w:jc w:val="both"/>
      </w:pPr>
      <w:r>
        <w:t>53. Снятие поручений с контроля осуществляется аппаратом Комиссии на основании решения председателя Комиссии, о чем информируется исполнитель.</w:t>
      </w:r>
    </w:p>
    <w:p w:rsidR="004D50C9" w:rsidRDefault="004D50C9">
      <w:pPr>
        <w:pStyle w:val="ConsPlusNormal"/>
        <w:jc w:val="both"/>
      </w:pPr>
    </w:p>
    <w:p w:rsidR="004D50C9" w:rsidRDefault="004D50C9">
      <w:pPr>
        <w:pStyle w:val="ConsPlusTitle"/>
        <w:jc w:val="center"/>
        <w:outlineLvl w:val="0"/>
      </w:pPr>
      <w:r>
        <w:t>VIII. Иные положения</w:t>
      </w:r>
    </w:p>
    <w:p w:rsidR="004D50C9" w:rsidRDefault="004D50C9">
      <w:pPr>
        <w:pStyle w:val="ConsPlusNormal"/>
        <w:ind w:firstLine="540"/>
        <w:jc w:val="both"/>
      </w:pPr>
    </w:p>
    <w:p w:rsidR="004D50C9" w:rsidRDefault="004D50C9">
      <w:pPr>
        <w:pStyle w:val="ConsPlusNormal"/>
        <w:ind w:firstLine="540"/>
        <w:jc w:val="both"/>
      </w:pPr>
      <w:r>
        <w:t xml:space="preserve">54. Признать утратившим силу </w:t>
      </w:r>
      <w:hyperlink r:id="rId8" w:history="1">
        <w:r>
          <w:rPr>
            <w:color w:val="0000FF"/>
          </w:rPr>
          <w:t>Регламент</w:t>
        </w:r>
      </w:hyperlink>
      <w:r>
        <w:t xml:space="preserve"> антинаркотической комиссии в субъекте Российской Федерации, утвержденный председателем Комитета 28 ноября 2007 г. N ВЧ-3531.</w:t>
      </w:r>
    </w:p>
    <w:p w:rsidR="004D50C9" w:rsidRDefault="004D50C9">
      <w:pPr>
        <w:pStyle w:val="ConsPlusNormal"/>
        <w:jc w:val="both"/>
      </w:pPr>
    </w:p>
    <w:p w:rsidR="004D50C9" w:rsidRDefault="004D50C9">
      <w:pPr>
        <w:pStyle w:val="ConsPlusNormal"/>
        <w:jc w:val="both"/>
      </w:pPr>
    </w:p>
    <w:p w:rsidR="004D50C9" w:rsidRDefault="004D5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04C4C" w:rsidRPr="00170A8D" w:rsidSect="002A03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C9"/>
    <w:rsid w:val="00170A8D"/>
    <w:rsid w:val="00404C4C"/>
    <w:rsid w:val="004D50C9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5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D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5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D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0B68D1E5810887F37D7333EA01D4ED16BD053018E9631AFD76FF7801553069FE4ADB994A9FDB120ECFE8EDCrEf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0B68D1E5810887F37DE2A39A01D4ED46DDB5F018E9631AFD76FF7801553068DE4F5B596ACE2B024F9A8DF9AB8DC4FE565681AFBDA8F0BrCf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0B68D1E5810887F37DE2A39A01D4ED46DDB5F018E9631AFD76FF7801553068DE4F5B596ACE3B02BF9A8DF9AB8DC4FE565681AFBDA8F0BrCf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dcterms:created xsi:type="dcterms:W3CDTF">2020-03-25T13:31:00Z</dcterms:created>
  <dcterms:modified xsi:type="dcterms:W3CDTF">2020-03-25T13:32:00Z</dcterms:modified>
</cp:coreProperties>
</file>