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4430D2">
        <w:rPr>
          <w:sz w:val="28"/>
          <w:szCs w:val="28"/>
        </w:rPr>
        <w:t>И</w:t>
      </w:r>
      <w:r w:rsidR="00FF1CDA">
        <w:rPr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2</w:t>
            </w:r>
            <w:r w:rsidR="009B02C2">
              <w:rPr>
                <w:rFonts w:ascii="Times New Roman" w:hAnsi="Times New Roman"/>
                <w:sz w:val="28"/>
                <w:szCs w:val="28"/>
              </w:rPr>
              <w:t>500</w:t>
            </w:r>
            <w:r w:rsidR="00F66BA0">
              <w:rPr>
                <w:rFonts w:ascii="Times New Roman" w:hAnsi="Times New Roman"/>
                <w:sz w:val="28"/>
                <w:szCs w:val="28"/>
              </w:rPr>
              <w:t>2,0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2</w:t>
            </w:r>
            <w:r w:rsidR="00F66BA0">
              <w:rPr>
                <w:rFonts w:ascii="Times New Roman" w:hAnsi="Times New Roman"/>
                <w:sz w:val="28"/>
                <w:szCs w:val="28"/>
              </w:rPr>
              <w:t>5002,0</w:t>
            </w:r>
            <w:bookmarkStart w:id="0" w:name="_GoBack"/>
            <w:bookmarkEnd w:id="0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55</w:t>
            </w:r>
            <w:r w:rsidR="009B02C2">
              <w:rPr>
                <w:rFonts w:ascii="Times New Roman" w:hAnsi="Times New Roman"/>
                <w:sz w:val="28"/>
                <w:szCs w:val="28"/>
              </w:rPr>
              <w:t>6</w:t>
            </w:r>
            <w:r w:rsidR="00094C69">
              <w:rPr>
                <w:rFonts w:ascii="Times New Roman" w:hAnsi="Times New Roman"/>
                <w:sz w:val="28"/>
                <w:szCs w:val="28"/>
              </w:rPr>
              <w:t>0,</w:t>
            </w:r>
            <w:r w:rsidR="00F66BA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5698,2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F3C55">
              <w:rPr>
                <w:rFonts w:ascii="Times New Roman" w:hAnsi="Times New Roman"/>
                <w:sz w:val="28"/>
                <w:szCs w:val="28"/>
              </w:rPr>
              <w:t>3379,2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406776" w:rsidRDefault="0080297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A7786D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3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220AC2">
        <w:rPr>
          <w:sz w:val="28"/>
          <w:szCs w:val="28"/>
        </w:rPr>
        <w:t>8</w:t>
      </w:r>
      <w:r w:rsidR="00CD15A0">
        <w:rPr>
          <w:sz w:val="28"/>
          <w:szCs w:val="28"/>
        </w:rPr>
        <w:t>-20</w:t>
      </w:r>
      <w:r w:rsidR="00220AC2">
        <w:rPr>
          <w:sz w:val="28"/>
          <w:szCs w:val="28"/>
        </w:rPr>
        <w:t>22</w:t>
      </w:r>
      <w:r w:rsidR="00CD15A0">
        <w:rPr>
          <w:sz w:val="28"/>
          <w:szCs w:val="28"/>
        </w:rPr>
        <w:t xml:space="preserve"> годы.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F2A" w:rsidRDefault="00DE6F2A" w:rsidP="00D92849">
      <w:r>
        <w:separator/>
      </w:r>
    </w:p>
  </w:endnote>
  <w:endnote w:type="continuationSeparator" w:id="0">
    <w:p w:rsidR="00DE6F2A" w:rsidRDefault="00DE6F2A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F2A" w:rsidRDefault="00DE6F2A" w:rsidP="00D92849">
      <w:r>
        <w:separator/>
      </w:r>
    </w:p>
  </w:footnote>
  <w:footnote w:type="continuationSeparator" w:id="0">
    <w:p w:rsidR="00DE6F2A" w:rsidRDefault="00DE6F2A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BA0">
          <w:rPr>
            <w:noProof/>
          </w:rPr>
          <w:t>2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60D37-06FC-4E53-BDE8-2412FA8B8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34</cp:revision>
  <cp:lastPrinted>2018-04-19T12:37:00Z</cp:lastPrinted>
  <dcterms:created xsi:type="dcterms:W3CDTF">2017-01-09T07:53:00Z</dcterms:created>
  <dcterms:modified xsi:type="dcterms:W3CDTF">2019-03-14T14:30:00Z</dcterms:modified>
</cp:coreProperties>
</file>