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3A" w:rsidRPr="008C544E" w:rsidRDefault="00BD443A" w:rsidP="00BD443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 w:rsidRPr="008C544E">
        <w:rPr>
          <w:rFonts w:cs="Times New Roman"/>
          <w:szCs w:val="28"/>
        </w:rPr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</w:t>
      </w:r>
      <w:r w:rsidR="00AC7645"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EB5268" w:rsidRPr="001314E0" w:rsidRDefault="00EB5268" w:rsidP="00BD443A">
      <w:pPr>
        <w:ind w:left="5529"/>
        <w:jc w:val="both"/>
        <w:rPr>
          <w:rFonts w:cs="Times New Roman"/>
          <w:szCs w:val="28"/>
        </w:rPr>
      </w:pPr>
    </w:p>
    <w:p w:rsidR="00BD443A" w:rsidRPr="00063C4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1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C46FD6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C46FD6" w:rsidRPr="00B41C3D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BD443A" w:rsidRPr="00E64770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BD443A" w:rsidRDefault="00BD443A" w:rsidP="00414287">
      <w:pPr>
        <w:autoSpaceDE w:val="0"/>
        <w:autoSpaceDN w:val="0"/>
        <w:adjustRightInd w:val="0"/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D443A" w:rsidRPr="00EB5268" w:rsidRDefault="00BD443A" w:rsidP="00BD443A">
      <w:pPr>
        <w:jc w:val="center"/>
        <w:rPr>
          <w:rFonts w:cs="Times New Roman"/>
          <w:b/>
          <w:szCs w:val="28"/>
        </w:rPr>
      </w:pP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BD443A" w:rsidRPr="001314E0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3C085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администрация </w:t>
            </w:r>
            <w:r w:rsidR="00BD443A" w:rsidRPr="006B185B">
              <w:rPr>
                <w:rFonts w:ascii="Times New Roman" w:hAnsi="Times New Roman"/>
                <w:szCs w:val="28"/>
              </w:rPr>
              <w:t>Чепигинско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муниципального образования Брюховецкий район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подготовка и содержание в готовности необходимых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 xml:space="preserve">ховецкого района </w:t>
            </w:r>
          </w:p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EE4793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подпрограммы –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br/>
            </w:r>
            <w:r w:rsidR="00F51E54">
              <w:rPr>
                <w:rFonts w:ascii="Times New Roman" w:hAnsi="Times New Roman"/>
                <w:szCs w:val="28"/>
              </w:rPr>
              <w:t>85</w:t>
            </w:r>
            <w:r w:rsidR="00B82D72">
              <w:rPr>
                <w:rFonts w:ascii="Times New Roman" w:hAnsi="Times New Roman"/>
                <w:szCs w:val="28"/>
              </w:rPr>
              <w:t> 9</w:t>
            </w:r>
            <w:r w:rsidR="00757EA5">
              <w:rPr>
                <w:rFonts w:ascii="Times New Roman" w:hAnsi="Times New Roman"/>
                <w:szCs w:val="28"/>
              </w:rPr>
              <w:t>2</w:t>
            </w:r>
            <w:r w:rsidR="00B82D72">
              <w:rPr>
                <w:rFonts w:ascii="Times New Roman" w:hAnsi="Times New Roman"/>
                <w:szCs w:val="28"/>
              </w:rPr>
              <w:t>3,</w:t>
            </w:r>
            <w:r w:rsidR="00757EA5">
              <w:rPr>
                <w:rFonts w:ascii="Times New Roman" w:hAnsi="Times New Roman"/>
                <w:szCs w:val="28"/>
              </w:rPr>
              <w:t>8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2019 год – 15</w:t>
            </w:r>
            <w:r w:rsidR="003972FC" w:rsidRPr="00EE4793">
              <w:rPr>
                <w:rFonts w:ascii="Times New Roman" w:hAnsi="Times New Roman"/>
                <w:color w:val="000000"/>
                <w:szCs w:val="28"/>
              </w:rPr>
              <w:t> 645,9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2020 год – </w:t>
            </w:r>
            <w:r w:rsidR="00EE4793">
              <w:rPr>
                <w:rFonts w:ascii="Times New Roman" w:hAnsi="Times New Roman"/>
                <w:color w:val="000000"/>
                <w:szCs w:val="28"/>
              </w:rPr>
              <w:t>17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> 245,9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2021 год – </w:t>
            </w:r>
            <w:r w:rsidR="00E949BB">
              <w:rPr>
                <w:rFonts w:ascii="Times New Roman" w:hAnsi="Times New Roman"/>
                <w:color w:val="000000"/>
                <w:szCs w:val="28"/>
              </w:rPr>
              <w:t>18</w:t>
            </w:r>
            <w:r w:rsidR="00934AD5">
              <w:rPr>
                <w:rFonts w:ascii="Times New Roman" w:hAnsi="Times New Roman"/>
                <w:color w:val="000000"/>
                <w:szCs w:val="28"/>
              </w:rPr>
              <w:t> 1</w:t>
            </w:r>
            <w:r w:rsidR="00757EA5">
              <w:rPr>
                <w:rFonts w:ascii="Times New Roman" w:hAnsi="Times New Roman"/>
                <w:color w:val="000000"/>
                <w:szCs w:val="28"/>
              </w:rPr>
              <w:t>6</w:t>
            </w:r>
            <w:r w:rsidR="00934AD5">
              <w:rPr>
                <w:rFonts w:ascii="Times New Roman" w:hAnsi="Times New Roman"/>
                <w:color w:val="000000"/>
                <w:szCs w:val="28"/>
              </w:rPr>
              <w:t>7,</w:t>
            </w:r>
            <w:r w:rsidR="00757EA5">
              <w:rPr>
                <w:rFonts w:ascii="Times New Roman" w:hAnsi="Times New Roman"/>
                <w:color w:val="000000"/>
                <w:szCs w:val="28"/>
              </w:rPr>
              <w:t>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B82D72">
              <w:rPr>
                <w:rFonts w:ascii="Times New Roman" w:hAnsi="Times New Roman"/>
                <w:color w:val="000000"/>
                <w:szCs w:val="28"/>
              </w:rPr>
              <w:t>16 236,4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</w:t>
            </w:r>
          </w:p>
          <w:p w:rsidR="00BD443A" w:rsidRPr="00EE4793" w:rsidRDefault="00BD443A" w:rsidP="00741D6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BD443A" w:rsidRPr="00EE4793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EE4793">
              <w:rPr>
                <w:rFonts w:cs="Times New Roman"/>
                <w:spacing w:val="-6"/>
                <w:szCs w:val="28"/>
              </w:rPr>
              <w:t>о</w:t>
            </w:r>
            <w:r w:rsidRPr="00EE4793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9769" w:type="dxa"/>
            <w:gridSpan w:val="2"/>
          </w:tcPr>
          <w:p w:rsidR="00BD443A" w:rsidRPr="003823B0" w:rsidRDefault="00BD443A" w:rsidP="002226DA">
            <w:pPr>
              <w:pStyle w:val="a7"/>
              <w:numPr>
                <w:ilvl w:val="0"/>
                <w:numId w:val="7"/>
              </w:numPr>
              <w:ind w:left="0" w:firstLine="0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 xml:space="preserve">муниципального образования Брюховецкий район </w:t>
            </w:r>
            <w:proofErr w:type="gramStart"/>
            <w:r w:rsidRPr="003823B0">
              <w:rPr>
                <w:b/>
                <w:szCs w:val="28"/>
              </w:rPr>
              <w:t>гражданской</w:t>
            </w:r>
            <w:proofErr w:type="gramEnd"/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lastRenderedPageBreak/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>2 объекта, относящи</w:t>
            </w:r>
            <w:r w:rsidR="00D74802">
              <w:rPr>
                <w:szCs w:val="28"/>
              </w:rPr>
              <w:t>еся</w:t>
            </w:r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BD443A" w:rsidRPr="00487ED4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BD443A" w:rsidRPr="006C1D88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t>дей.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lastRenderedPageBreak/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BD443A" w:rsidRPr="006B185B" w:rsidRDefault="00BD443A" w:rsidP="00A93B6C">
            <w:pPr>
              <w:pStyle w:val="ae"/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>
              <w:rPr>
                <w:szCs w:val="28"/>
              </w:rPr>
              <w:t>одного и техногенного характер</w:t>
            </w:r>
            <w:r w:rsidR="00C46FD6">
              <w:rPr>
                <w:szCs w:val="28"/>
              </w:rPr>
              <w:t>а</w:t>
            </w:r>
            <w:r>
              <w:rPr>
                <w:szCs w:val="28"/>
              </w:rPr>
              <w:t>.</w:t>
            </w:r>
          </w:p>
        </w:tc>
      </w:tr>
      <w:tr w:rsidR="00C46FD6" w:rsidRPr="006B185B" w:rsidTr="00741D6A">
        <w:trPr>
          <w:trHeight w:val="143"/>
        </w:trPr>
        <w:tc>
          <w:tcPr>
            <w:tcW w:w="9769" w:type="dxa"/>
            <w:gridSpan w:val="2"/>
          </w:tcPr>
          <w:p w:rsidR="00C46FD6" w:rsidRPr="003823B0" w:rsidRDefault="00C46FD6" w:rsidP="00C46FD6">
            <w:pPr>
              <w:pStyle w:val="a7"/>
              <w:ind w:left="1069"/>
              <w:rPr>
                <w:b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7860A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pgNumType w:start="10"/>
          <w:cols w:space="708"/>
          <w:titlePg/>
          <w:docGrid w:linePitch="360"/>
        </w:sectPr>
      </w:pPr>
    </w:p>
    <w:p w:rsidR="00BD443A" w:rsidRPr="004C1C9F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741D6A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D443A" w:rsidRPr="00297C7A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  <w:tr w:rsidR="002E29CE" w:rsidRPr="006B185B" w:rsidTr="00741D6A">
        <w:trPr>
          <w:trHeight w:val="263"/>
          <w:tblHeader/>
        </w:trPr>
        <w:tc>
          <w:tcPr>
            <w:tcW w:w="709" w:type="dxa"/>
          </w:tcPr>
          <w:p w:rsidR="002E29CE" w:rsidRPr="006B185B" w:rsidRDefault="002E29C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2E29CE" w:rsidRPr="00D478CA" w:rsidRDefault="00D478CA" w:rsidP="00741D6A">
            <w:pPr>
              <w:jc w:val="both"/>
              <w:rPr>
                <w:rFonts w:cs="Times New Roman"/>
                <w:sz w:val="24"/>
              </w:rPr>
            </w:pPr>
            <w:r w:rsidRPr="00D478CA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D478CA">
              <w:rPr>
                <w:rFonts w:cs="Times New Roman"/>
                <w:sz w:val="24"/>
              </w:rPr>
              <w:t>ц</w:t>
            </w:r>
            <w:r w:rsidRPr="00D478CA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Подпрограмма реализуется в один этап.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BD443A" w:rsidRPr="006B185B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553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5C47EA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BD443A" w:rsidRPr="006B185B" w:rsidTr="005C47EA">
        <w:trPr>
          <w:trHeight w:val="1419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9C005A" w:rsidRDefault="00063AB0" w:rsidP="00DD586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39033,3</w:t>
            </w:r>
          </w:p>
        </w:tc>
        <w:tc>
          <w:tcPr>
            <w:tcW w:w="1164" w:type="dxa"/>
            <w:shd w:val="clear" w:color="auto" w:fill="FFFFFF"/>
          </w:tcPr>
          <w:p w:rsidR="00BD443A" w:rsidRPr="009C005A" w:rsidRDefault="00BD443A" w:rsidP="00741D6A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BD443A" w:rsidP="003972FC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</w:t>
            </w:r>
            <w:r w:rsidR="003972FC" w:rsidRPr="009C005A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254EB3" w:rsidRPr="009C005A" w:rsidRDefault="007062EF" w:rsidP="00DA691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</w:t>
            </w:r>
            <w:r w:rsidR="00B4556F">
              <w:rPr>
                <w:rFonts w:cs="Times New Roman"/>
                <w:sz w:val="24"/>
              </w:rPr>
              <w:t>4</w:t>
            </w:r>
          </w:p>
        </w:tc>
        <w:tc>
          <w:tcPr>
            <w:tcW w:w="1133" w:type="dxa"/>
            <w:shd w:val="clear" w:color="auto" w:fill="FFFFFF"/>
          </w:tcPr>
          <w:p w:rsidR="00BD443A" w:rsidRPr="005C47EA" w:rsidRDefault="00361E17" w:rsidP="007062E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9401,01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DA691B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D020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по делам ГО и ЧС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 xml:space="preserve">кого района» </w:t>
            </w:r>
            <w:r w:rsidRPr="006B185B">
              <w:rPr>
                <w:rFonts w:eastAsia="Calibri" w:cs="Times New Roman"/>
                <w:sz w:val="24"/>
              </w:rPr>
              <w:t>- получатель су</w:t>
            </w:r>
            <w:r w:rsidRPr="006B185B">
              <w:rPr>
                <w:rFonts w:eastAsia="Calibri" w:cs="Times New Roman"/>
                <w:sz w:val="24"/>
              </w:rPr>
              <w:t>б</w:t>
            </w:r>
            <w:r w:rsidRPr="006B185B">
              <w:rPr>
                <w:rFonts w:eastAsia="Calibri" w:cs="Times New Roman"/>
                <w:sz w:val="24"/>
              </w:rPr>
              <w:t xml:space="preserve">сидий </w:t>
            </w:r>
          </w:p>
        </w:tc>
      </w:tr>
      <w:tr w:rsidR="00063AB0" w:rsidRPr="006B185B" w:rsidTr="005C47EA">
        <w:trPr>
          <w:trHeight w:val="1418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9C005A" w:rsidRDefault="00063AB0" w:rsidP="00DD586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39033,3</w:t>
            </w:r>
          </w:p>
        </w:tc>
        <w:tc>
          <w:tcPr>
            <w:tcW w:w="1164" w:type="dxa"/>
            <w:shd w:val="clear" w:color="auto" w:fill="FFFFFF"/>
          </w:tcPr>
          <w:p w:rsidR="00063AB0" w:rsidRPr="009C005A" w:rsidRDefault="00063AB0" w:rsidP="00AF1A8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063AB0" w:rsidRPr="009C005A" w:rsidRDefault="00063AB0" w:rsidP="00AF1A8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7028,0</w:t>
            </w:r>
          </w:p>
        </w:tc>
        <w:tc>
          <w:tcPr>
            <w:tcW w:w="1134" w:type="dxa"/>
            <w:shd w:val="clear" w:color="auto" w:fill="FFFFFF"/>
          </w:tcPr>
          <w:p w:rsidR="00063AB0" w:rsidRPr="009C005A" w:rsidRDefault="00063AB0" w:rsidP="00DA691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8303,24</w:t>
            </w:r>
          </w:p>
        </w:tc>
        <w:tc>
          <w:tcPr>
            <w:tcW w:w="1133" w:type="dxa"/>
            <w:shd w:val="clear" w:color="auto" w:fill="FFFFFF"/>
          </w:tcPr>
          <w:p w:rsidR="00063AB0" w:rsidRPr="005C47EA" w:rsidRDefault="00063AB0" w:rsidP="009B06D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9401,01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AF1A8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6B185B" w:rsidTr="005C47EA">
        <w:tc>
          <w:tcPr>
            <w:tcW w:w="70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20" w:type="dxa"/>
            <w:gridSpan w:val="11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063AB0" w:rsidRPr="006B185B" w:rsidTr="005C47EA">
        <w:trPr>
          <w:trHeight w:val="547"/>
        </w:trPr>
        <w:tc>
          <w:tcPr>
            <w:tcW w:w="706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E26422" w:rsidRDefault="00063AB0" w:rsidP="00E26422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063AB0" w:rsidRPr="00E26422" w:rsidRDefault="00063AB0" w:rsidP="00741D6A">
            <w:pPr>
              <w:rPr>
                <w:rFonts w:cs="Times New Roman"/>
                <w:color w:val="auto"/>
                <w:sz w:val="24"/>
              </w:rPr>
            </w:pPr>
            <w:r w:rsidRPr="00E26422">
              <w:rPr>
                <w:rFonts w:cs="Times New Roman"/>
                <w:color w:val="auto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924D6D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617,9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620F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lastRenderedPageBreak/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Брюховецкий район – главный распорядитель;</w:t>
            </w:r>
          </w:p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063AB0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8617,9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0159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6B185B" w:rsidTr="005C47EA">
        <w:trPr>
          <w:trHeight w:val="578"/>
        </w:trPr>
        <w:tc>
          <w:tcPr>
            <w:tcW w:w="70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063AB0" w:rsidRPr="006B185B" w:rsidTr="005C47EA">
        <w:trPr>
          <w:trHeight w:val="941"/>
        </w:trPr>
        <w:tc>
          <w:tcPr>
            <w:tcW w:w="706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условий жизнеде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тельности населения х. Киновия Ч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пигинского сельского п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селения Бр</w:t>
            </w:r>
            <w:r w:rsidRPr="006B185B">
              <w:rPr>
                <w:rFonts w:cs="Times New Roman"/>
                <w:sz w:val="24"/>
              </w:rPr>
              <w:t>ю</w:t>
            </w:r>
            <w:r w:rsidRPr="006B185B">
              <w:rPr>
                <w:rFonts w:cs="Times New Roman"/>
                <w:sz w:val="24"/>
              </w:rPr>
              <w:t>ховецкого района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</w:t>
            </w:r>
            <w:r w:rsidRPr="006B185B">
              <w:rPr>
                <w:rFonts w:eastAsia="Calibri" w:cs="Times New Roman"/>
                <w:sz w:val="24"/>
              </w:rPr>
              <w:t>д</w:t>
            </w:r>
            <w:r w:rsidRPr="006B185B">
              <w:rPr>
                <w:rFonts w:eastAsia="Calibri" w:cs="Times New Roman"/>
                <w:sz w:val="24"/>
              </w:rPr>
              <w:t>министрации муниципального образования Брюховецкий район – расп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рядитель; Ч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пигинское сел</w:t>
            </w:r>
            <w:r w:rsidRPr="006B185B">
              <w:rPr>
                <w:rFonts w:eastAsia="Calibri" w:cs="Times New Roman"/>
                <w:sz w:val="24"/>
              </w:rPr>
              <w:t>ь</w:t>
            </w:r>
            <w:r w:rsidRPr="006B185B">
              <w:rPr>
                <w:rFonts w:eastAsia="Calibri" w:cs="Times New Roman"/>
                <w:sz w:val="24"/>
              </w:rPr>
              <w:t>ское поселение Брюховецкого района - испо</w:t>
            </w:r>
            <w:r w:rsidRPr="006B185B">
              <w:rPr>
                <w:rFonts w:eastAsia="Calibri" w:cs="Times New Roman"/>
                <w:sz w:val="24"/>
              </w:rPr>
              <w:t>л</w:t>
            </w:r>
            <w:r w:rsidRPr="006B185B">
              <w:rPr>
                <w:rFonts w:eastAsia="Calibri" w:cs="Times New Roman"/>
                <w:sz w:val="24"/>
              </w:rPr>
              <w:t>нитель</w:t>
            </w:r>
          </w:p>
        </w:tc>
      </w:tr>
      <w:tr w:rsidR="00063AB0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78290A" w:rsidTr="005C47EA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063AB0" w:rsidRPr="0078290A" w:rsidRDefault="00063AB0" w:rsidP="0078290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1.3.2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</w:t>
            </w:r>
            <w:r w:rsidRPr="0078290A">
              <w:rPr>
                <w:rFonts w:cs="Times New Roman"/>
                <w:color w:val="auto"/>
                <w:sz w:val="24"/>
              </w:rPr>
              <w:t>б</w:t>
            </w:r>
            <w:r w:rsidRPr="0078290A">
              <w:rPr>
                <w:rFonts w:cs="Times New Roman"/>
                <w:color w:val="auto"/>
                <w:sz w:val="24"/>
              </w:rPr>
              <w:t>разования Брюхове</w:t>
            </w:r>
            <w:r w:rsidRPr="0078290A">
              <w:rPr>
                <w:rFonts w:cs="Times New Roman"/>
                <w:color w:val="auto"/>
                <w:sz w:val="24"/>
              </w:rPr>
              <w:t>ц</w:t>
            </w:r>
            <w:r w:rsidRPr="0078290A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1136" w:type="dxa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</w:t>
            </w:r>
            <w:r w:rsidRPr="0078290A">
              <w:rPr>
                <w:rFonts w:cs="Times New Roman"/>
                <w:color w:val="auto"/>
                <w:sz w:val="24"/>
              </w:rPr>
              <w:t>ж</w:t>
            </w:r>
            <w:r w:rsidRPr="0078290A">
              <w:rPr>
                <w:rFonts w:cs="Times New Roman"/>
                <w:color w:val="auto"/>
                <w:sz w:val="24"/>
              </w:rPr>
              <w:t>данской об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роны и защ</w:t>
            </w:r>
            <w:r w:rsidRPr="0078290A">
              <w:rPr>
                <w:rFonts w:cs="Times New Roman"/>
                <w:color w:val="auto"/>
                <w:sz w:val="24"/>
              </w:rPr>
              <w:t>и</w:t>
            </w:r>
            <w:r w:rsidRPr="0078290A">
              <w:rPr>
                <w:rFonts w:cs="Times New Roman"/>
                <w:color w:val="auto"/>
                <w:sz w:val="24"/>
              </w:rPr>
              <w:t>ты населения муниципал</w:t>
            </w:r>
            <w:r w:rsidRPr="0078290A">
              <w:rPr>
                <w:rFonts w:cs="Times New Roman"/>
                <w:color w:val="auto"/>
                <w:sz w:val="24"/>
              </w:rPr>
              <w:t>ь</w:t>
            </w:r>
            <w:r w:rsidRPr="0078290A">
              <w:rPr>
                <w:rFonts w:cs="Times New Roman"/>
                <w:color w:val="auto"/>
                <w:sz w:val="24"/>
              </w:rPr>
              <w:t>ного образ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вания Брюх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вецкий район</w:t>
            </w:r>
          </w:p>
        </w:tc>
        <w:tc>
          <w:tcPr>
            <w:tcW w:w="1984" w:type="dxa"/>
            <w:shd w:val="clear" w:color="auto" w:fill="auto"/>
          </w:tcPr>
          <w:p w:rsidR="00063AB0" w:rsidRPr="0078290A" w:rsidRDefault="00063AB0" w:rsidP="008F737D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8290A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Брюховецкий район - главный распорядитель</w:t>
            </w:r>
            <w:r>
              <w:rPr>
                <w:rFonts w:eastAsia="Calibri" w:cs="Times New Roman"/>
                <w:color w:val="auto"/>
                <w:sz w:val="24"/>
              </w:rPr>
              <w:t xml:space="preserve"> </w:t>
            </w:r>
          </w:p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063AB0" w:rsidRPr="006B185B" w:rsidTr="005C47EA">
        <w:trPr>
          <w:trHeight w:val="374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78290A" w:rsidRDefault="00063AB0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063AB0" w:rsidRPr="006B185B" w:rsidTr="005C47EA">
        <w:trPr>
          <w:trHeight w:val="374"/>
        </w:trPr>
        <w:tc>
          <w:tcPr>
            <w:tcW w:w="3259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3972FC" w:rsidRDefault="00063AB0" w:rsidP="000300E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859</w:t>
            </w:r>
            <w:r w:rsidR="000300EB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3</w:t>
            </w:r>
            <w:r w:rsidR="000300EB">
              <w:rPr>
                <w:rFonts w:cs="Times New Roman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063AB0" w:rsidRPr="003972FC" w:rsidRDefault="00063AB0" w:rsidP="003972FC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254EB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063AB0" w:rsidRPr="00087114" w:rsidRDefault="00063AB0" w:rsidP="000300E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</w:t>
            </w:r>
            <w:r w:rsidR="000300EB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>7,</w:t>
            </w:r>
            <w:r w:rsidR="000300E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063AB0" w:rsidRPr="006B185B" w:rsidTr="005C47EA">
        <w:trPr>
          <w:trHeight w:val="67"/>
        </w:trPr>
        <w:tc>
          <w:tcPr>
            <w:tcW w:w="3259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3972FC" w:rsidRDefault="00063AB0" w:rsidP="000300E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859</w:t>
            </w:r>
            <w:r w:rsidR="000300EB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3,</w:t>
            </w:r>
            <w:r w:rsidR="000300EB">
              <w:rPr>
                <w:rFonts w:cs="Times New Roman"/>
                <w:sz w:val="24"/>
              </w:rPr>
              <w:t>8</w:t>
            </w:r>
          </w:p>
        </w:tc>
        <w:tc>
          <w:tcPr>
            <w:tcW w:w="116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063AB0" w:rsidRPr="00087114" w:rsidRDefault="00063AB0" w:rsidP="000300E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</w:t>
            </w:r>
            <w:r w:rsidR="000300EB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>7,</w:t>
            </w:r>
            <w:r w:rsidR="000300E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BD443A" w:rsidRPr="006B185B" w:rsidRDefault="00BD443A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992"/>
        <w:gridCol w:w="1276"/>
        <w:gridCol w:w="1134"/>
        <w:gridCol w:w="1134"/>
        <w:gridCol w:w="1134"/>
        <w:gridCol w:w="992"/>
      </w:tblGrid>
      <w:tr w:rsidR="00BD443A" w:rsidRPr="00254595" w:rsidTr="00254595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д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</w:t>
            </w:r>
            <w:r w:rsidRPr="00254595">
              <w:rPr>
                <w:rFonts w:cs="Times New Roman"/>
                <w:sz w:val="23"/>
                <w:szCs w:val="23"/>
              </w:rPr>
              <w:t>ч</w:t>
            </w:r>
            <w:r w:rsidRPr="00254595">
              <w:rPr>
                <w:rFonts w:cs="Times New Roman"/>
                <w:sz w:val="23"/>
                <w:szCs w:val="23"/>
              </w:rPr>
              <w:t>ник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proofErr w:type="gramStart"/>
            <w:r w:rsidRPr="00254595">
              <w:rPr>
                <w:rFonts w:cs="Times New Roman"/>
                <w:sz w:val="23"/>
                <w:szCs w:val="23"/>
              </w:rPr>
              <w:t>Общий объём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 (тыс.</w:t>
            </w:r>
            <w:proofErr w:type="gramEnd"/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254595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2018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2019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2020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2021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2022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254595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943755" w:rsidRPr="00254595" w:rsidTr="00254595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442AF1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гражданской об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роне, предупрежд</w:t>
            </w:r>
            <w:r w:rsidRPr="00254595">
              <w:rPr>
                <w:rFonts w:cs="Times New Roman"/>
                <w:sz w:val="23"/>
                <w:szCs w:val="23"/>
              </w:rPr>
              <w:t>е</w:t>
            </w:r>
            <w:r w:rsidRPr="00254595">
              <w:rPr>
                <w:rFonts w:cs="Times New Roman"/>
                <w:sz w:val="23"/>
                <w:szCs w:val="23"/>
              </w:rPr>
              <w:t>нию и ликвидации чрезвычайных сит</w:t>
            </w:r>
            <w:r w:rsidRPr="00254595">
              <w:rPr>
                <w:rFonts w:cs="Times New Roman"/>
                <w:sz w:val="23"/>
                <w:szCs w:val="23"/>
              </w:rPr>
              <w:t>у</w:t>
            </w:r>
            <w:r w:rsidRPr="00254595">
              <w:rPr>
                <w:rFonts w:cs="Times New Roman"/>
                <w:sz w:val="23"/>
                <w:szCs w:val="23"/>
              </w:rPr>
              <w:t xml:space="preserve">аций, стихийных </w:t>
            </w:r>
            <w:proofErr w:type="spellStart"/>
            <w:proofErr w:type="gramStart"/>
            <w:r w:rsidRPr="00254595">
              <w:rPr>
                <w:rFonts w:cs="Times New Roman"/>
                <w:sz w:val="23"/>
                <w:szCs w:val="23"/>
              </w:rPr>
              <w:t>бедст-вий</w:t>
            </w:r>
            <w:proofErr w:type="spellEnd"/>
            <w:proofErr w:type="gramEnd"/>
            <w:r w:rsidRPr="00254595">
              <w:rPr>
                <w:rFonts w:cs="Times New Roman"/>
                <w:sz w:val="23"/>
                <w:szCs w:val="23"/>
              </w:rPr>
              <w:t xml:space="preserve"> и их п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следствий в мун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ципальном образ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741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</w:t>
            </w:r>
            <w:r w:rsidRPr="00254595">
              <w:rPr>
                <w:rFonts w:cs="Times New Roman"/>
                <w:sz w:val="23"/>
                <w:szCs w:val="23"/>
              </w:rPr>
              <w:t>т</w:t>
            </w:r>
            <w:r w:rsidRPr="00254595">
              <w:rPr>
                <w:rFonts w:cs="Times New Roman"/>
                <w:sz w:val="23"/>
                <w:szCs w:val="23"/>
              </w:rPr>
              <w:t>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652D2A" w:rsidP="00FE623B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85</w:t>
            </w:r>
            <w:r w:rsidR="00BE22D1">
              <w:rPr>
                <w:rFonts w:cs="Times New Roman"/>
                <w:sz w:val="23"/>
                <w:szCs w:val="23"/>
              </w:rPr>
              <w:t>9</w:t>
            </w:r>
            <w:r w:rsidR="00FE623B">
              <w:rPr>
                <w:rFonts w:cs="Times New Roman"/>
                <w:sz w:val="23"/>
                <w:szCs w:val="23"/>
              </w:rPr>
              <w:t>2</w:t>
            </w:r>
            <w:r w:rsidR="00BE22D1">
              <w:rPr>
                <w:rFonts w:cs="Times New Roman"/>
                <w:sz w:val="23"/>
                <w:szCs w:val="23"/>
              </w:rPr>
              <w:t>3</w:t>
            </w:r>
            <w:r>
              <w:rPr>
                <w:rFonts w:cs="Times New Roman"/>
                <w:sz w:val="23"/>
                <w:szCs w:val="23"/>
              </w:rPr>
              <w:t>,</w:t>
            </w:r>
            <w:r w:rsidR="00FE623B">
              <w:rPr>
                <w:rFonts w:cs="Times New Roman"/>
                <w:sz w:val="23"/>
                <w:szCs w:val="23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254595" w:rsidRDefault="00652D2A" w:rsidP="00FE623B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181</w:t>
            </w:r>
            <w:r w:rsidR="00FE623B">
              <w:rPr>
                <w:rFonts w:cs="Times New Roman"/>
                <w:sz w:val="23"/>
                <w:szCs w:val="23"/>
              </w:rPr>
              <w:t>6</w:t>
            </w:r>
            <w:r>
              <w:rPr>
                <w:rFonts w:cs="Times New Roman"/>
                <w:sz w:val="23"/>
                <w:szCs w:val="23"/>
              </w:rPr>
              <w:t>7,</w:t>
            </w:r>
            <w:r w:rsidR="00FE623B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254595" w:rsidRDefault="00BE22D1" w:rsidP="005A20FD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  <w:tr w:rsidR="00FE623B" w:rsidRPr="00254595" w:rsidTr="00254595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FE623B" w:rsidRPr="00254595" w:rsidRDefault="00FE623B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3B" w:rsidRPr="00254595" w:rsidRDefault="00FE623B" w:rsidP="00A13B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3B" w:rsidRPr="00254595" w:rsidRDefault="00FE623B" w:rsidP="009B06DF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85923,8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3B" w:rsidRPr="00254595" w:rsidRDefault="00FE623B" w:rsidP="009B06DF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3B" w:rsidRPr="00254595" w:rsidRDefault="00FE623B" w:rsidP="009B06DF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3B" w:rsidRPr="00254595" w:rsidRDefault="00FE623B" w:rsidP="009B06DF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E623B" w:rsidRPr="00254595" w:rsidRDefault="00FE623B" w:rsidP="009B06DF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18167,7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E623B" w:rsidRPr="00254595" w:rsidRDefault="00FE623B" w:rsidP="009B06DF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 xml:space="preserve">тельных расчетах бюджетных смет </w:t>
      </w:r>
      <w:r w:rsidRPr="00B27F50">
        <w:rPr>
          <w:rFonts w:cs="Times New Roman"/>
          <w:color w:val="auto"/>
          <w:szCs w:val="28"/>
        </w:rPr>
        <w:t xml:space="preserve">на 2019 год,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BD443A" w:rsidRPr="006B185B" w:rsidRDefault="00BD443A" w:rsidP="00741A2E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BD443A" w:rsidRPr="006B185B" w:rsidRDefault="00BD443A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11 июля </w:t>
      </w:r>
      <w:r w:rsidR="00E43651"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t>2018 года № 716) в результате выхода из строя и невозможности дальнейшей эксплуатации водозаборной артезианской скважины № 2111 и в связи с изн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шенностью водопроводных сетей, составляющих 100% хутора Киновия Чепи</w:t>
      </w:r>
      <w:r w:rsidRPr="006B185B">
        <w:rPr>
          <w:rFonts w:cs="Times New Roman"/>
          <w:szCs w:val="28"/>
        </w:rPr>
        <w:t>г</w:t>
      </w:r>
      <w:r w:rsidRPr="006B185B">
        <w:rPr>
          <w:rFonts w:cs="Times New Roman"/>
          <w:szCs w:val="28"/>
        </w:rPr>
        <w:t>инского сельского поселения Брюховецкого района, прекращена централиз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чрезвыча</w:t>
      </w:r>
      <w:r w:rsidRPr="006B185B">
        <w:rPr>
          <w:rFonts w:cs="Times New Roman"/>
          <w:szCs w:val="28"/>
        </w:rPr>
        <w:t>й</w:t>
      </w:r>
      <w:r w:rsidRPr="006B185B">
        <w:rPr>
          <w:rFonts w:cs="Times New Roman"/>
          <w:szCs w:val="28"/>
        </w:rPr>
        <w:t>ная ситуация техногенного характера.</w:t>
      </w:r>
    </w:p>
    <w:p w:rsidR="00254595" w:rsidRDefault="00254595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</w:p>
    <w:p w:rsidR="00BD443A" w:rsidRPr="004C1C9F" w:rsidRDefault="00BD443A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741A2E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741A2E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proofErr w:type="gramStart"/>
      <w:r w:rsidR="00951DA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  <w:proofErr w:type="gramEnd"/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Начальник отдела ГО и ЧС </w:t>
      </w: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администрации </w:t>
      </w:r>
      <w:proofErr w:type="gramStart"/>
      <w:r w:rsidR="001D6412">
        <w:rPr>
          <w:rFonts w:eastAsia="Calibri" w:cs="Times New Roman"/>
          <w:szCs w:val="28"/>
        </w:rPr>
        <w:t>муниципального</w:t>
      </w:r>
      <w:proofErr w:type="gramEnd"/>
      <w:r w:rsidR="001D6412">
        <w:rPr>
          <w:rFonts w:eastAsia="Calibri" w:cs="Times New Roman"/>
          <w:szCs w:val="28"/>
        </w:rPr>
        <w:t xml:space="preserve"> </w:t>
      </w:r>
    </w:p>
    <w:p w:rsidR="00BD443A" w:rsidRPr="006B185B" w:rsidRDefault="001D6412" w:rsidP="00BD443A">
      <w:pPr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образования</w:t>
      </w:r>
      <w:r w:rsidR="00DB2DD6">
        <w:rPr>
          <w:rFonts w:eastAsia="Calibri" w:cs="Times New Roman"/>
          <w:szCs w:val="28"/>
        </w:rPr>
        <w:t xml:space="preserve"> </w:t>
      </w:r>
      <w:r w:rsidR="00BD443A" w:rsidRPr="006B185B">
        <w:rPr>
          <w:rFonts w:cs="Times New Roman"/>
          <w:szCs w:val="28"/>
        </w:rPr>
        <w:t xml:space="preserve">Брюховецкий район                                      </w:t>
      </w:r>
      <w:r w:rsidR="00DB2DD6">
        <w:rPr>
          <w:rFonts w:cs="Times New Roman"/>
          <w:szCs w:val="28"/>
        </w:rPr>
        <w:t xml:space="preserve">  </w:t>
      </w:r>
      <w:r w:rsidR="00BD443A" w:rsidRPr="006B185B">
        <w:rPr>
          <w:rFonts w:cs="Times New Roman"/>
          <w:szCs w:val="28"/>
        </w:rPr>
        <w:t xml:space="preserve">     </w:t>
      </w:r>
      <w:r w:rsidR="00E82448">
        <w:rPr>
          <w:rFonts w:cs="Times New Roman"/>
          <w:szCs w:val="28"/>
        </w:rPr>
        <w:t xml:space="preserve">    </w:t>
      </w:r>
      <w:r w:rsidR="00BD443A" w:rsidRPr="006B185B">
        <w:rPr>
          <w:rFonts w:cs="Times New Roman"/>
          <w:szCs w:val="28"/>
        </w:rPr>
        <w:t xml:space="preserve">        </w:t>
      </w:r>
      <w:r w:rsidR="00DB2DD6">
        <w:rPr>
          <w:rFonts w:cs="Times New Roman"/>
          <w:szCs w:val="28"/>
        </w:rPr>
        <w:t>А.В. Дашивец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5A35C9" w:rsidSect="0078290A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D4" w:rsidRDefault="004940D4" w:rsidP="00FA1A08">
      <w:r>
        <w:separator/>
      </w:r>
    </w:p>
  </w:endnote>
  <w:endnote w:type="continuationSeparator" w:id="0">
    <w:p w:rsidR="004940D4" w:rsidRDefault="004940D4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D4" w:rsidRDefault="004940D4" w:rsidP="00FA1A08">
      <w:r>
        <w:separator/>
      </w:r>
    </w:p>
  </w:footnote>
  <w:footnote w:type="continuationSeparator" w:id="0">
    <w:p w:rsidR="004940D4" w:rsidRDefault="004940D4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E17" w:rsidRDefault="00361E17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61E17" w:rsidRDefault="00361E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361E17" w:rsidRPr="00682BAD" w:rsidRDefault="00361E17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0A3">
          <w:rPr>
            <w:noProof/>
          </w:rPr>
          <w:t>16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361E17" w:rsidRPr="00682BAD" w:rsidRDefault="00361E17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0A3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96A"/>
    <w:rsid w:val="00016AD7"/>
    <w:rsid w:val="000244CF"/>
    <w:rsid w:val="00027F4E"/>
    <w:rsid w:val="000300EB"/>
    <w:rsid w:val="000404DB"/>
    <w:rsid w:val="000458B4"/>
    <w:rsid w:val="00053A4B"/>
    <w:rsid w:val="00056C0B"/>
    <w:rsid w:val="000606E3"/>
    <w:rsid w:val="00063AB0"/>
    <w:rsid w:val="00063C4A"/>
    <w:rsid w:val="00067036"/>
    <w:rsid w:val="00070693"/>
    <w:rsid w:val="0007461E"/>
    <w:rsid w:val="0007783C"/>
    <w:rsid w:val="00087114"/>
    <w:rsid w:val="00087F67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0138"/>
    <w:rsid w:val="001012D5"/>
    <w:rsid w:val="00101E11"/>
    <w:rsid w:val="0010444E"/>
    <w:rsid w:val="00107219"/>
    <w:rsid w:val="00107730"/>
    <w:rsid w:val="001167B4"/>
    <w:rsid w:val="00116C19"/>
    <w:rsid w:val="00117025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A1F"/>
    <w:rsid w:val="001F0F31"/>
    <w:rsid w:val="001F3BBE"/>
    <w:rsid w:val="001F3BFA"/>
    <w:rsid w:val="001F44B7"/>
    <w:rsid w:val="001F4873"/>
    <w:rsid w:val="001F6149"/>
    <w:rsid w:val="002024F9"/>
    <w:rsid w:val="00205319"/>
    <w:rsid w:val="00206392"/>
    <w:rsid w:val="002065EB"/>
    <w:rsid w:val="002178C0"/>
    <w:rsid w:val="002226DA"/>
    <w:rsid w:val="002242B9"/>
    <w:rsid w:val="00224BC2"/>
    <w:rsid w:val="00224ED3"/>
    <w:rsid w:val="00234437"/>
    <w:rsid w:val="00234C7F"/>
    <w:rsid w:val="00235753"/>
    <w:rsid w:val="00237E93"/>
    <w:rsid w:val="002475BC"/>
    <w:rsid w:val="002517FA"/>
    <w:rsid w:val="00252D66"/>
    <w:rsid w:val="00254595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194"/>
    <w:rsid w:val="002D7A17"/>
    <w:rsid w:val="002E29CE"/>
    <w:rsid w:val="002E53F8"/>
    <w:rsid w:val="002E630D"/>
    <w:rsid w:val="002F0CED"/>
    <w:rsid w:val="002F1B93"/>
    <w:rsid w:val="002F2B1D"/>
    <w:rsid w:val="002F41EB"/>
    <w:rsid w:val="002F5858"/>
    <w:rsid w:val="00302116"/>
    <w:rsid w:val="00304354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1E17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287"/>
    <w:rsid w:val="00414CF9"/>
    <w:rsid w:val="00415630"/>
    <w:rsid w:val="00417CCF"/>
    <w:rsid w:val="00427425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026"/>
    <w:rsid w:val="00483676"/>
    <w:rsid w:val="0049177A"/>
    <w:rsid w:val="004937F6"/>
    <w:rsid w:val="004940D4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EEE"/>
    <w:rsid w:val="004E406D"/>
    <w:rsid w:val="004F7D1F"/>
    <w:rsid w:val="0050657F"/>
    <w:rsid w:val="00510A2F"/>
    <w:rsid w:val="005245C1"/>
    <w:rsid w:val="00532D58"/>
    <w:rsid w:val="00537876"/>
    <w:rsid w:val="00552793"/>
    <w:rsid w:val="00552DBB"/>
    <w:rsid w:val="00554349"/>
    <w:rsid w:val="00554387"/>
    <w:rsid w:val="00554A6B"/>
    <w:rsid w:val="0056003A"/>
    <w:rsid w:val="00561FF7"/>
    <w:rsid w:val="00565D6B"/>
    <w:rsid w:val="00583B79"/>
    <w:rsid w:val="005861BA"/>
    <w:rsid w:val="005A20FD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E4956"/>
    <w:rsid w:val="005F1AE4"/>
    <w:rsid w:val="005F36A1"/>
    <w:rsid w:val="005F387E"/>
    <w:rsid w:val="005F416E"/>
    <w:rsid w:val="00602193"/>
    <w:rsid w:val="00616BDE"/>
    <w:rsid w:val="00622C9D"/>
    <w:rsid w:val="00625445"/>
    <w:rsid w:val="00625DE7"/>
    <w:rsid w:val="00627DED"/>
    <w:rsid w:val="00631335"/>
    <w:rsid w:val="00634280"/>
    <w:rsid w:val="00634F18"/>
    <w:rsid w:val="00650E70"/>
    <w:rsid w:val="006513C6"/>
    <w:rsid w:val="00652D2A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3E1D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04DD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57EA5"/>
    <w:rsid w:val="00761C57"/>
    <w:rsid w:val="007620F2"/>
    <w:rsid w:val="00762788"/>
    <w:rsid w:val="0077272C"/>
    <w:rsid w:val="007754E2"/>
    <w:rsid w:val="0078290A"/>
    <w:rsid w:val="00785E9B"/>
    <w:rsid w:val="007860A3"/>
    <w:rsid w:val="00786EBB"/>
    <w:rsid w:val="00787E27"/>
    <w:rsid w:val="0079245C"/>
    <w:rsid w:val="00795D07"/>
    <w:rsid w:val="007A19D9"/>
    <w:rsid w:val="007A2C69"/>
    <w:rsid w:val="007B1343"/>
    <w:rsid w:val="007B59E1"/>
    <w:rsid w:val="007C1427"/>
    <w:rsid w:val="007C17F7"/>
    <w:rsid w:val="007C1F9B"/>
    <w:rsid w:val="007C61AD"/>
    <w:rsid w:val="007C76C1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37725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0AFE"/>
    <w:rsid w:val="0089487D"/>
    <w:rsid w:val="008B759E"/>
    <w:rsid w:val="008C1BB5"/>
    <w:rsid w:val="008C2F85"/>
    <w:rsid w:val="008C500C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0052"/>
    <w:rsid w:val="00931012"/>
    <w:rsid w:val="00933F30"/>
    <w:rsid w:val="009340F1"/>
    <w:rsid w:val="00934AD5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A6FC7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E6E49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86D84"/>
    <w:rsid w:val="00A93859"/>
    <w:rsid w:val="00A93B6C"/>
    <w:rsid w:val="00A94E21"/>
    <w:rsid w:val="00AA3840"/>
    <w:rsid w:val="00AA4662"/>
    <w:rsid w:val="00AA5705"/>
    <w:rsid w:val="00AB5538"/>
    <w:rsid w:val="00AC1D54"/>
    <w:rsid w:val="00AC7645"/>
    <w:rsid w:val="00AD6D28"/>
    <w:rsid w:val="00AD7EA1"/>
    <w:rsid w:val="00AE4340"/>
    <w:rsid w:val="00AF12E2"/>
    <w:rsid w:val="00AF1A8E"/>
    <w:rsid w:val="00AF472B"/>
    <w:rsid w:val="00B00E5F"/>
    <w:rsid w:val="00B01973"/>
    <w:rsid w:val="00B0717B"/>
    <w:rsid w:val="00B141BB"/>
    <w:rsid w:val="00B278F6"/>
    <w:rsid w:val="00B27F50"/>
    <w:rsid w:val="00B40846"/>
    <w:rsid w:val="00B4556F"/>
    <w:rsid w:val="00B45EC5"/>
    <w:rsid w:val="00B607E8"/>
    <w:rsid w:val="00B63DFD"/>
    <w:rsid w:val="00B64A45"/>
    <w:rsid w:val="00B658F0"/>
    <w:rsid w:val="00B7245B"/>
    <w:rsid w:val="00B8263C"/>
    <w:rsid w:val="00B82D72"/>
    <w:rsid w:val="00B8346C"/>
    <w:rsid w:val="00B879F7"/>
    <w:rsid w:val="00BA0D12"/>
    <w:rsid w:val="00BB6244"/>
    <w:rsid w:val="00BB6AA0"/>
    <w:rsid w:val="00BD14A1"/>
    <w:rsid w:val="00BD443A"/>
    <w:rsid w:val="00BE22D1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43B58"/>
    <w:rsid w:val="00C46FD6"/>
    <w:rsid w:val="00C55449"/>
    <w:rsid w:val="00C62A8F"/>
    <w:rsid w:val="00C713C6"/>
    <w:rsid w:val="00C86474"/>
    <w:rsid w:val="00C868BD"/>
    <w:rsid w:val="00C952FD"/>
    <w:rsid w:val="00CC24E0"/>
    <w:rsid w:val="00CD0D64"/>
    <w:rsid w:val="00CD5CD1"/>
    <w:rsid w:val="00CE0368"/>
    <w:rsid w:val="00CF322A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64C6"/>
    <w:rsid w:val="00D478CA"/>
    <w:rsid w:val="00D55FD4"/>
    <w:rsid w:val="00D60C1D"/>
    <w:rsid w:val="00D638AC"/>
    <w:rsid w:val="00D65879"/>
    <w:rsid w:val="00D65E2B"/>
    <w:rsid w:val="00D65F41"/>
    <w:rsid w:val="00D66FEA"/>
    <w:rsid w:val="00D74802"/>
    <w:rsid w:val="00D7481A"/>
    <w:rsid w:val="00D77D89"/>
    <w:rsid w:val="00D823A5"/>
    <w:rsid w:val="00D8398C"/>
    <w:rsid w:val="00D84CFD"/>
    <w:rsid w:val="00D873F6"/>
    <w:rsid w:val="00D9261F"/>
    <w:rsid w:val="00D9350F"/>
    <w:rsid w:val="00D94CAA"/>
    <w:rsid w:val="00DA0082"/>
    <w:rsid w:val="00DA0BB9"/>
    <w:rsid w:val="00DA691B"/>
    <w:rsid w:val="00DA6C2C"/>
    <w:rsid w:val="00DB2DD6"/>
    <w:rsid w:val="00DC0FD9"/>
    <w:rsid w:val="00DC57EB"/>
    <w:rsid w:val="00DC5EAC"/>
    <w:rsid w:val="00DC723A"/>
    <w:rsid w:val="00DC7BC2"/>
    <w:rsid w:val="00DD2A98"/>
    <w:rsid w:val="00DD5862"/>
    <w:rsid w:val="00DF0FDD"/>
    <w:rsid w:val="00E022EB"/>
    <w:rsid w:val="00E03DC3"/>
    <w:rsid w:val="00E0564A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43651"/>
    <w:rsid w:val="00E50D25"/>
    <w:rsid w:val="00E512AC"/>
    <w:rsid w:val="00E53857"/>
    <w:rsid w:val="00E56804"/>
    <w:rsid w:val="00E641AC"/>
    <w:rsid w:val="00E64770"/>
    <w:rsid w:val="00E64BFF"/>
    <w:rsid w:val="00E6687E"/>
    <w:rsid w:val="00E758D6"/>
    <w:rsid w:val="00E77C8E"/>
    <w:rsid w:val="00E82448"/>
    <w:rsid w:val="00E83F65"/>
    <w:rsid w:val="00E949BB"/>
    <w:rsid w:val="00E962BC"/>
    <w:rsid w:val="00EA7CF1"/>
    <w:rsid w:val="00EB0053"/>
    <w:rsid w:val="00EB5268"/>
    <w:rsid w:val="00EC0721"/>
    <w:rsid w:val="00EC1E52"/>
    <w:rsid w:val="00EC278B"/>
    <w:rsid w:val="00EC29B2"/>
    <w:rsid w:val="00EC51AE"/>
    <w:rsid w:val="00EC646D"/>
    <w:rsid w:val="00ED1D81"/>
    <w:rsid w:val="00EE1722"/>
    <w:rsid w:val="00EE2D9B"/>
    <w:rsid w:val="00EE43D3"/>
    <w:rsid w:val="00EE4793"/>
    <w:rsid w:val="00EE6F59"/>
    <w:rsid w:val="00EF1D40"/>
    <w:rsid w:val="00EF3035"/>
    <w:rsid w:val="00EF5B48"/>
    <w:rsid w:val="00F00707"/>
    <w:rsid w:val="00F02875"/>
    <w:rsid w:val="00F1426B"/>
    <w:rsid w:val="00F15909"/>
    <w:rsid w:val="00F20F7D"/>
    <w:rsid w:val="00F2113C"/>
    <w:rsid w:val="00F223E7"/>
    <w:rsid w:val="00F25E13"/>
    <w:rsid w:val="00F2614E"/>
    <w:rsid w:val="00F31A27"/>
    <w:rsid w:val="00F35314"/>
    <w:rsid w:val="00F37227"/>
    <w:rsid w:val="00F42C48"/>
    <w:rsid w:val="00F44A74"/>
    <w:rsid w:val="00F51A76"/>
    <w:rsid w:val="00F51E54"/>
    <w:rsid w:val="00F60EAB"/>
    <w:rsid w:val="00F72D29"/>
    <w:rsid w:val="00F769C6"/>
    <w:rsid w:val="00F83602"/>
    <w:rsid w:val="00F84D2E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E623B"/>
    <w:rsid w:val="00FE63AA"/>
    <w:rsid w:val="00FF0812"/>
    <w:rsid w:val="00FF26D0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E85E-BB4E-4831-887F-152B8072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4346</TotalTime>
  <Pages>1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443</cp:revision>
  <cp:lastPrinted>2021-03-09T05:32:00Z</cp:lastPrinted>
  <dcterms:created xsi:type="dcterms:W3CDTF">2019-04-30T10:23:00Z</dcterms:created>
  <dcterms:modified xsi:type="dcterms:W3CDTF">2021-04-29T08:21:00Z</dcterms:modified>
</cp:coreProperties>
</file>